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560" w:lineRule="exact"/>
        <w:jc w:val="center"/>
        <w:rPr>
          <w:rFonts w:ascii="宋体" w:hAnsi="宋体"/>
          <w:sz w:val="72"/>
          <w:szCs w:val="72"/>
        </w:rPr>
      </w:pPr>
      <w:r>
        <w:rPr>
          <w:rFonts w:ascii="宋体" w:hAnsi="宋体"/>
        </w:rPr>
        <w:drawing>
          <wp:anchor distT="0" distB="0" distL="114300" distR="114300" simplePos="0" relativeHeight="251659264" behindDoc="1" locked="0" layoutInCell="1" allowOverlap="1">
            <wp:simplePos x="0" y="0"/>
            <wp:positionH relativeFrom="page">
              <wp:posOffset>19050</wp:posOffset>
            </wp:positionH>
            <wp:positionV relativeFrom="line">
              <wp:posOffset>-1111250</wp:posOffset>
            </wp:positionV>
            <wp:extent cx="7562850" cy="10868025"/>
            <wp:effectExtent l="19050" t="0" r="0" b="0"/>
            <wp:wrapNone/>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2850" cy="10868025"/>
                    </a:xfrm>
                    <a:prstGeom prst="rect">
                      <a:avLst/>
                    </a:prstGeom>
                  </pic:spPr>
                </pic:pic>
              </a:graphicData>
            </a:graphic>
          </wp:anchor>
        </w:drawing>
      </w:r>
      <w:r>
        <w:rPr>
          <w:rFonts w:ascii="宋体" w:hAnsi="宋体"/>
        </w:rPr>
        <w:drawing>
          <wp:anchor distT="0" distB="0" distL="114300" distR="114300" simplePos="0" relativeHeight="251661312" behindDoc="0" locked="0" layoutInCell="1" allowOverlap="1">
            <wp:simplePos x="0" y="0"/>
            <wp:positionH relativeFrom="column">
              <wp:posOffset>-457200</wp:posOffset>
            </wp:positionH>
            <wp:positionV relativeFrom="paragraph">
              <wp:posOffset>-93345</wp:posOffset>
            </wp:positionV>
            <wp:extent cx="1502410" cy="603885"/>
            <wp:effectExtent l="0" t="0" r="2540" b="5715"/>
            <wp:wrapNone/>
            <wp:docPr id="2" name="图片 1" descr="C:\Users\Administrator\Desktop\t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timg.jpg"/>
                    <pic:cNvPicPr>
                      <a:picLocks noChangeAspect="1" noChangeArrowheads="1"/>
                    </pic:cNvPicPr>
                  </pic:nvPicPr>
                  <pic:blipFill>
                    <a:blip r:embed="rId7" cstate="print"/>
                    <a:srcRect/>
                    <a:stretch>
                      <a:fillRect/>
                    </a:stretch>
                  </pic:blipFill>
                  <pic:spPr>
                    <a:xfrm>
                      <a:off x="0" y="0"/>
                      <a:ext cx="1502410" cy="603885"/>
                    </a:xfrm>
                    <a:prstGeom prst="rect">
                      <a:avLst/>
                    </a:prstGeom>
                    <a:noFill/>
                    <a:ln w="9525">
                      <a:noFill/>
                      <a:miter lim="800000"/>
                      <a:headEnd/>
                      <a:tailEnd/>
                    </a:ln>
                  </pic:spPr>
                </pic:pic>
              </a:graphicData>
            </a:graphic>
          </wp:anchor>
        </w:drawing>
      </w:r>
    </w:p>
    <w:p>
      <w:pPr>
        <w:spacing w:before="312" w:beforeLines="100" w:after="312" w:afterLines="100" w:line="560" w:lineRule="exact"/>
        <w:jc w:val="center"/>
        <w:rPr>
          <w:rFonts w:ascii="宋体" w:hAnsi="宋体"/>
          <w:sz w:val="72"/>
          <w:szCs w:val="72"/>
        </w:rPr>
      </w:pPr>
    </w:p>
    <w:p>
      <w:pPr>
        <w:spacing w:before="312" w:beforeLines="100" w:after="312" w:afterLines="100"/>
        <w:jc w:val="center"/>
        <w:rPr>
          <w:rFonts w:ascii="黑体" w:hAnsi="黑体" w:eastAsia="黑体"/>
          <w:sz w:val="72"/>
          <w:szCs w:val="72"/>
        </w:rPr>
      </w:pPr>
      <w:r>
        <w:rPr>
          <w:rFonts w:hint="eastAsia" w:ascii="黑体" w:hAnsi="黑体" w:eastAsia="黑体"/>
          <w:sz w:val="72"/>
          <w:szCs w:val="72"/>
        </w:rPr>
        <w:t>智慧校园解决方案</w:t>
      </w:r>
    </w:p>
    <w:p>
      <w:pPr>
        <w:spacing w:before="312" w:beforeLines="100" w:after="312" w:afterLines="100"/>
        <w:jc w:val="center"/>
        <w:rPr>
          <w:rFonts w:ascii="黑体" w:hAnsi="黑体" w:eastAsia="黑体"/>
          <w:sz w:val="72"/>
          <w:szCs w:val="72"/>
        </w:rPr>
      </w:pPr>
      <w:r>
        <w:rPr>
          <w:rFonts w:hint="eastAsia" w:ascii="黑体" w:hAnsi="黑体" w:eastAsia="黑体"/>
          <w:sz w:val="72"/>
          <w:szCs w:val="72"/>
        </w:rPr>
        <w:t>专项拓展指导手册</w:t>
      </w: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before="312" w:beforeLines="100" w:after="312" w:afterLines="100" w:line="560" w:lineRule="exact"/>
        <w:jc w:val="center"/>
        <w:rPr>
          <w:rFonts w:ascii="宋体" w:hAnsi="宋体"/>
          <w:sz w:val="72"/>
          <w:szCs w:val="72"/>
        </w:rPr>
      </w:pPr>
    </w:p>
    <w:p>
      <w:pPr>
        <w:spacing w:line="560" w:lineRule="exact"/>
        <w:jc w:val="center"/>
        <w:rPr>
          <w:rFonts w:ascii="宋体" w:hAnsi="宋体"/>
          <w:sz w:val="40"/>
        </w:rPr>
      </w:pPr>
      <w:r>
        <w:rPr>
          <w:rFonts w:hint="eastAsia" w:ascii="宋体" w:hAnsi="宋体"/>
          <w:sz w:val="40"/>
        </w:rPr>
        <w:t>政企事业部</w:t>
      </w:r>
    </w:p>
    <w:p>
      <w:pPr>
        <w:spacing w:line="560" w:lineRule="exact"/>
        <w:jc w:val="center"/>
        <w:rPr>
          <w:rFonts w:ascii="宋体" w:hAnsi="宋体"/>
          <w:sz w:val="40"/>
        </w:rPr>
      </w:pPr>
      <w:r>
        <w:rPr>
          <w:rFonts w:ascii="宋体" w:hAnsi="宋体"/>
          <w:sz w:val="40"/>
        </w:rPr>
        <w:t>2019</w:t>
      </w:r>
      <w:r>
        <w:rPr>
          <w:rFonts w:hint="eastAsia" w:ascii="宋体" w:hAnsi="宋体"/>
          <w:sz w:val="40"/>
        </w:rPr>
        <w:t>年</w:t>
      </w:r>
      <w:r>
        <w:rPr>
          <w:rFonts w:ascii="宋体" w:hAnsi="宋体"/>
          <w:sz w:val="40"/>
        </w:rPr>
        <w:t>12</w:t>
      </w:r>
      <w:r>
        <w:rPr>
          <w:rFonts w:hint="eastAsia" w:ascii="宋体" w:hAnsi="宋体"/>
          <w:sz w:val="40"/>
        </w:rPr>
        <w:t>月</w:t>
      </w:r>
    </w:p>
    <w:p>
      <w:pPr>
        <w:spacing w:line="560" w:lineRule="exact"/>
      </w:pPr>
    </w:p>
    <w:sdt>
      <w:sdtPr>
        <w:rPr>
          <w:rFonts w:ascii="Times New Roman" w:hAnsi="Times New Roman" w:eastAsia="宋体" w:cstheme="minorBidi"/>
          <w:color w:val="auto"/>
          <w:kern w:val="2"/>
          <w:sz w:val="24"/>
          <w:szCs w:val="22"/>
          <w:lang w:val="zh-CN"/>
        </w:rPr>
        <w:id w:val="1609780013"/>
      </w:sdtPr>
      <w:sdtEndPr>
        <w:rPr>
          <w:rFonts w:ascii="Times New Roman" w:hAnsi="Times New Roman" w:eastAsia="宋体" w:cstheme="minorBidi"/>
          <w:b/>
          <w:bCs/>
          <w:color w:val="auto"/>
          <w:kern w:val="2"/>
          <w:sz w:val="24"/>
          <w:szCs w:val="22"/>
          <w:lang w:val="zh-CN"/>
        </w:rPr>
      </w:sdtEndPr>
      <w:sdtContent>
        <w:p>
          <w:pPr>
            <w:pStyle w:val="37"/>
            <w:ind w:firstLine="2880" w:firstLineChars="1200"/>
            <w:rPr>
              <w:rFonts w:ascii="仿宋_GB2312" w:hAnsi="仿宋_GB2312" w:eastAsia="仿宋_GB2312" w:cs="仿宋_GB2312"/>
              <w:color w:val="auto"/>
              <w:kern w:val="2"/>
            </w:rPr>
          </w:pPr>
          <w:r>
            <w:rPr>
              <w:rFonts w:ascii="仿宋_GB2312" w:hAnsi="仿宋_GB2312" w:eastAsia="仿宋_GB2312" w:cs="仿宋_GB2312"/>
              <w:color w:val="auto"/>
              <w:kern w:val="2"/>
            </w:rPr>
            <w:t>目录</w:t>
          </w:r>
        </w:p>
        <w:p>
          <w:pPr>
            <w:pStyle w:val="12"/>
            <w:tabs>
              <w:tab w:val="left" w:pos="840"/>
              <w:tab w:val="right" w:leader="dot" w:pos="8296"/>
            </w:tabs>
            <w:rPr>
              <w:rFonts w:ascii="仿宋_GB2312" w:hAnsi="仿宋_GB2312" w:eastAsia="仿宋_GB2312" w:cs="仿宋_GB2312"/>
              <w:kern w:val="2"/>
              <w:sz w:val="32"/>
              <w:szCs w:val="32"/>
            </w:rPr>
          </w:pPr>
          <w:r>
            <w:rPr>
              <w:rFonts w:ascii="仿宋_GB2312" w:hAnsi="仿宋_GB2312" w:eastAsia="仿宋_GB2312" w:cs="仿宋_GB2312"/>
              <w:kern w:val="2"/>
              <w:sz w:val="32"/>
              <w:szCs w:val="32"/>
            </w:rPr>
            <w:fldChar w:fldCharType="begin"/>
          </w:r>
          <w:r>
            <w:rPr>
              <w:rFonts w:ascii="仿宋_GB2312" w:hAnsi="仿宋_GB2312" w:eastAsia="仿宋_GB2312" w:cs="仿宋_GB2312"/>
              <w:kern w:val="2"/>
              <w:sz w:val="32"/>
              <w:szCs w:val="32"/>
            </w:rPr>
            <w:instrText xml:space="preserve"> TOC \o "1-3" \h \z \u </w:instrText>
          </w:r>
          <w:r>
            <w:rPr>
              <w:rFonts w:ascii="仿宋_GB2312" w:hAnsi="仿宋_GB2312" w:eastAsia="仿宋_GB2312" w:cs="仿宋_GB2312"/>
              <w:kern w:val="2"/>
              <w:sz w:val="32"/>
              <w:szCs w:val="32"/>
            </w:rPr>
            <w:fldChar w:fldCharType="separate"/>
          </w:r>
          <w:r>
            <w:fldChar w:fldCharType="begin"/>
          </w:r>
          <w:r>
            <w:instrText xml:space="preserve"> HYPERLINK \l "_Toc29579121" </w:instrText>
          </w:r>
          <w:r>
            <w:fldChar w:fldCharType="separate"/>
          </w:r>
          <w:r>
            <w:rPr>
              <w:rFonts w:ascii="仿宋_GB2312" w:hAnsi="仿宋_GB2312" w:eastAsia="仿宋_GB2312" w:cs="仿宋_GB2312"/>
              <w:kern w:val="2"/>
              <w:sz w:val="32"/>
              <w:szCs w:val="32"/>
            </w:rPr>
            <w:t>一、</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t>国家政策</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fldChar w:fldCharType="begin"/>
          </w:r>
          <w:r>
            <w:rPr>
              <w:rFonts w:ascii="仿宋_GB2312" w:hAnsi="仿宋_GB2312" w:eastAsia="仿宋_GB2312" w:cs="仿宋_GB2312"/>
              <w:kern w:val="2"/>
              <w:sz w:val="32"/>
              <w:szCs w:val="32"/>
            </w:rPr>
            <w:instrText xml:space="preserve"> PAGEREF _Toc29579121 \h </w:instrText>
          </w:r>
          <w:r>
            <w:rPr>
              <w:rFonts w:ascii="仿宋_GB2312" w:hAnsi="仿宋_GB2312" w:eastAsia="仿宋_GB2312" w:cs="仿宋_GB2312"/>
              <w:kern w:val="2"/>
              <w:sz w:val="32"/>
              <w:szCs w:val="32"/>
            </w:rPr>
            <w:fldChar w:fldCharType="separate"/>
          </w:r>
          <w:r>
            <w:rPr>
              <w:rFonts w:ascii="仿宋_GB2312" w:hAnsi="仿宋_GB2312" w:eastAsia="仿宋_GB2312" w:cs="仿宋_GB2312"/>
              <w:kern w:val="2"/>
              <w:sz w:val="32"/>
              <w:szCs w:val="32"/>
            </w:rPr>
            <w:t>3</w:t>
          </w:r>
          <w:r>
            <w:rPr>
              <w:rFonts w:ascii="仿宋_GB2312" w:hAnsi="仿宋_GB2312" w:eastAsia="仿宋_GB2312" w:cs="仿宋_GB2312"/>
              <w:kern w:val="2"/>
              <w:sz w:val="32"/>
              <w:szCs w:val="32"/>
            </w:rPr>
            <w:fldChar w:fldCharType="end"/>
          </w:r>
          <w:r>
            <w:rPr>
              <w:rFonts w:ascii="仿宋_GB2312" w:hAnsi="仿宋_GB2312" w:eastAsia="仿宋_GB2312" w:cs="仿宋_GB2312"/>
              <w:kern w:val="2"/>
              <w:sz w:val="32"/>
              <w:szCs w:val="32"/>
            </w:rPr>
            <w:fldChar w:fldCharType="end"/>
          </w:r>
        </w:p>
        <w:p>
          <w:pPr>
            <w:pStyle w:val="12"/>
            <w:tabs>
              <w:tab w:val="left" w:pos="840"/>
              <w:tab w:val="right" w:leader="dot" w:pos="8296"/>
            </w:tabs>
            <w:rPr>
              <w:rFonts w:ascii="仿宋_GB2312" w:hAnsi="仿宋_GB2312" w:eastAsia="仿宋_GB2312" w:cs="仿宋_GB2312"/>
              <w:kern w:val="2"/>
              <w:sz w:val="32"/>
              <w:szCs w:val="32"/>
            </w:rPr>
          </w:pPr>
          <w:r>
            <w:fldChar w:fldCharType="begin"/>
          </w:r>
          <w:r>
            <w:instrText xml:space="preserve"> HYPERLINK \l "_Toc29579122" </w:instrText>
          </w:r>
          <w:r>
            <w:fldChar w:fldCharType="separate"/>
          </w:r>
          <w:r>
            <w:rPr>
              <w:rFonts w:ascii="仿宋_GB2312" w:hAnsi="仿宋_GB2312" w:eastAsia="仿宋_GB2312" w:cs="仿宋_GB2312"/>
              <w:kern w:val="2"/>
              <w:sz w:val="32"/>
              <w:szCs w:val="32"/>
            </w:rPr>
            <w:t>二、</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t>市场分析</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fldChar w:fldCharType="begin"/>
          </w:r>
          <w:r>
            <w:rPr>
              <w:rFonts w:ascii="仿宋_GB2312" w:hAnsi="仿宋_GB2312" w:eastAsia="仿宋_GB2312" w:cs="仿宋_GB2312"/>
              <w:kern w:val="2"/>
              <w:sz w:val="32"/>
              <w:szCs w:val="32"/>
            </w:rPr>
            <w:instrText xml:space="preserve"> PAGEREF _Toc29579122 \h </w:instrText>
          </w:r>
          <w:r>
            <w:rPr>
              <w:rFonts w:ascii="仿宋_GB2312" w:hAnsi="仿宋_GB2312" w:eastAsia="仿宋_GB2312" w:cs="仿宋_GB2312"/>
              <w:kern w:val="2"/>
              <w:sz w:val="32"/>
              <w:szCs w:val="32"/>
            </w:rPr>
            <w:fldChar w:fldCharType="separate"/>
          </w:r>
          <w:r>
            <w:rPr>
              <w:rFonts w:ascii="仿宋_GB2312" w:hAnsi="仿宋_GB2312" w:eastAsia="仿宋_GB2312" w:cs="仿宋_GB2312"/>
              <w:kern w:val="2"/>
              <w:sz w:val="32"/>
              <w:szCs w:val="32"/>
            </w:rPr>
            <w:t>3</w:t>
          </w:r>
          <w:r>
            <w:rPr>
              <w:rFonts w:ascii="仿宋_GB2312" w:hAnsi="仿宋_GB2312" w:eastAsia="仿宋_GB2312" w:cs="仿宋_GB2312"/>
              <w:kern w:val="2"/>
              <w:sz w:val="32"/>
              <w:szCs w:val="32"/>
            </w:rPr>
            <w:fldChar w:fldCharType="end"/>
          </w:r>
          <w:r>
            <w:rPr>
              <w:rFonts w:ascii="仿宋_GB2312" w:hAnsi="仿宋_GB2312" w:eastAsia="仿宋_GB2312" w:cs="仿宋_GB2312"/>
              <w:kern w:val="2"/>
              <w:sz w:val="32"/>
              <w:szCs w:val="32"/>
            </w:rPr>
            <w:fldChar w:fldCharType="end"/>
          </w:r>
        </w:p>
        <w:p>
          <w:pPr>
            <w:pStyle w:val="12"/>
            <w:tabs>
              <w:tab w:val="left" w:pos="840"/>
              <w:tab w:val="right" w:leader="dot" w:pos="8296"/>
            </w:tabs>
            <w:rPr>
              <w:rFonts w:ascii="仿宋_GB2312" w:hAnsi="仿宋_GB2312" w:eastAsia="仿宋_GB2312" w:cs="仿宋_GB2312"/>
              <w:kern w:val="2"/>
              <w:sz w:val="32"/>
              <w:szCs w:val="32"/>
            </w:rPr>
          </w:pPr>
          <w:r>
            <w:fldChar w:fldCharType="begin"/>
          </w:r>
          <w:r>
            <w:instrText xml:space="preserve"> HYPERLINK \l "_Toc29579123" </w:instrText>
          </w:r>
          <w:r>
            <w:fldChar w:fldCharType="separate"/>
          </w:r>
          <w:r>
            <w:rPr>
              <w:rFonts w:ascii="仿宋_GB2312" w:hAnsi="仿宋_GB2312" w:eastAsia="仿宋_GB2312" w:cs="仿宋_GB2312"/>
              <w:kern w:val="2"/>
              <w:sz w:val="32"/>
              <w:szCs w:val="32"/>
            </w:rPr>
            <w:t>三、</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t>产品方案</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fldChar w:fldCharType="begin"/>
          </w:r>
          <w:r>
            <w:rPr>
              <w:rFonts w:ascii="仿宋_GB2312" w:hAnsi="仿宋_GB2312" w:eastAsia="仿宋_GB2312" w:cs="仿宋_GB2312"/>
              <w:kern w:val="2"/>
              <w:sz w:val="32"/>
              <w:szCs w:val="32"/>
            </w:rPr>
            <w:instrText xml:space="preserve"> PAGEREF _Toc29579123 \h </w:instrText>
          </w:r>
          <w:r>
            <w:rPr>
              <w:rFonts w:ascii="仿宋_GB2312" w:hAnsi="仿宋_GB2312" w:eastAsia="仿宋_GB2312" w:cs="仿宋_GB2312"/>
              <w:kern w:val="2"/>
              <w:sz w:val="32"/>
              <w:szCs w:val="32"/>
            </w:rPr>
            <w:fldChar w:fldCharType="separate"/>
          </w:r>
          <w:r>
            <w:rPr>
              <w:rFonts w:ascii="仿宋_GB2312" w:hAnsi="仿宋_GB2312" w:eastAsia="仿宋_GB2312" w:cs="仿宋_GB2312"/>
              <w:kern w:val="2"/>
              <w:sz w:val="32"/>
              <w:szCs w:val="32"/>
            </w:rPr>
            <w:t>3</w:t>
          </w:r>
          <w:r>
            <w:rPr>
              <w:rFonts w:ascii="仿宋_GB2312" w:hAnsi="仿宋_GB2312" w:eastAsia="仿宋_GB2312" w:cs="仿宋_GB2312"/>
              <w:kern w:val="2"/>
              <w:sz w:val="32"/>
              <w:szCs w:val="32"/>
            </w:rPr>
            <w:fldChar w:fldCharType="end"/>
          </w:r>
          <w:r>
            <w:rPr>
              <w:rFonts w:ascii="仿宋_GB2312" w:hAnsi="仿宋_GB2312" w:eastAsia="仿宋_GB2312" w:cs="仿宋_GB2312"/>
              <w:kern w:val="2"/>
              <w:sz w:val="32"/>
              <w:szCs w:val="32"/>
            </w:rPr>
            <w:fldChar w:fldCharType="end"/>
          </w:r>
        </w:p>
        <w:p>
          <w:pPr>
            <w:pStyle w:val="12"/>
            <w:tabs>
              <w:tab w:val="left" w:pos="840"/>
              <w:tab w:val="right" w:leader="dot" w:pos="8296"/>
            </w:tabs>
            <w:rPr>
              <w:rFonts w:ascii="仿宋_GB2312" w:hAnsi="仿宋_GB2312" w:eastAsia="仿宋_GB2312" w:cs="仿宋_GB2312"/>
              <w:kern w:val="2"/>
              <w:sz w:val="32"/>
              <w:szCs w:val="32"/>
            </w:rPr>
          </w:pPr>
          <w:r>
            <w:fldChar w:fldCharType="begin"/>
          </w:r>
          <w:r>
            <w:instrText xml:space="preserve"> HYPERLINK \l "_Toc29579124" </w:instrText>
          </w:r>
          <w:r>
            <w:fldChar w:fldCharType="separate"/>
          </w:r>
          <w:r>
            <w:rPr>
              <w:rFonts w:ascii="仿宋_GB2312" w:hAnsi="仿宋_GB2312" w:eastAsia="仿宋_GB2312" w:cs="仿宋_GB2312"/>
              <w:kern w:val="2"/>
              <w:sz w:val="32"/>
              <w:szCs w:val="32"/>
            </w:rPr>
            <w:t>四、</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t>拓展策略</w:t>
          </w:r>
          <w:r>
            <w:rPr>
              <w:rFonts w:ascii="仿宋_GB2312" w:hAnsi="仿宋_GB2312" w:eastAsia="仿宋_GB2312" w:cs="仿宋_GB2312"/>
              <w:kern w:val="2"/>
              <w:sz w:val="32"/>
              <w:szCs w:val="32"/>
            </w:rPr>
            <w:tab/>
          </w:r>
          <w:r>
            <w:rPr>
              <w:rFonts w:ascii="仿宋_GB2312" w:hAnsi="仿宋_GB2312" w:eastAsia="仿宋_GB2312" w:cs="仿宋_GB2312"/>
              <w:kern w:val="2"/>
              <w:sz w:val="32"/>
              <w:szCs w:val="32"/>
            </w:rPr>
            <w:fldChar w:fldCharType="begin"/>
          </w:r>
          <w:r>
            <w:rPr>
              <w:rFonts w:ascii="仿宋_GB2312" w:hAnsi="仿宋_GB2312" w:eastAsia="仿宋_GB2312" w:cs="仿宋_GB2312"/>
              <w:kern w:val="2"/>
              <w:sz w:val="32"/>
              <w:szCs w:val="32"/>
            </w:rPr>
            <w:instrText xml:space="preserve"> PAGEREF _Toc29579124 \h </w:instrText>
          </w:r>
          <w:r>
            <w:rPr>
              <w:rFonts w:ascii="仿宋_GB2312" w:hAnsi="仿宋_GB2312" w:eastAsia="仿宋_GB2312" w:cs="仿宋_GB2312"/>
              <w:kern w:val="2"/>
              <w:sz w:val="32"/>
              <w:szCs w:val="32"/>
            </w:rPr>
            <w:fldChar w:fldCharType="separate"/>
          </w:r>
          <w:r>
            <w:rPr>
              <w:rFonts w:ascii="仿宋_GB2312" w:hAnsi="仿宋_GB2312" w:eastAsia="仿宋_GB2312" w:cs="仿宋_GB2312"/>
              <w:kern w:val="2"/>
              <w:sz w:val="32"/>
              <w:szCs w:val="32"/>
            </w:rPr>
            <w:t>3</w:t>
          </w:r>
          <w:r>
            <w:rPr>
              <w:rFonts w:ascii="仿宋_GB2312" w:hAnsi="仿宋_GB2312" w:eastAsia="仿宋_GB2312" w:cs="仿宋_GB2312"/>
              <w:kern w:val="2"/>
              <w:sz w:val="32"/>
              <w:szCs w:val="32"/>
            </w:rPr>
            <w:fldChar w:fldCharType="end"/>
          </w:r>
          <w:r>
            <w:rPr>
              <w:rFonts w:ascii="仿宋_GB2312" w:hAnsi="仿宋_GB2312" w:eastAsia="仿宋_GB2312" w:cs="仿宋_GB2312"/>
              <w:kern w:val="2"/>
              <w:sz w:val="32"/>
              <w:szCs w:val="32"/>
            </w:rPr>
            <w:fldChar w:fldCharType="end"/>
          </w:r>
        </w:p>
        <w:p>
          <w:r>
            <w:rPr>
              <w:rFonts w:ascii="仿宋_GB2312" w:hAnsi="仿宋_GB2312" w:eastAsia="仿宋_GB2312" w:cs="仿宋_GB2312"/>
              <w:sz w:val="32"/>
              <w:szCs w:val="32"/>
            </w:rPr>
            <w:fldChar w:fldCharType="end"/>
          </w:r>
        </w:p>
      </w:sdtContent>
    </w:sdt>
    <w:p>
      <w:pPr>
        <w:spacing w:line="560" w:lineRule="exact"/>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ind w:firstLine="480" w:firstLineChars="200"/>
      </w:pPr>
    </w:p>
    <w:p>
      <w:pPr>
        <w:spacing w:line="560" w:lineRule="exact"/>
        <w:rPr>
          <w:rFonts w:ascii="华文中宋" w:hAnsi="华文中宋" w:eastAsia="华文中宋"/>
          <w:sz w:val="32"/>
          <w:szCs w:val="32"/>
        </w:rPr>
      </w:pP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智慧校园</w:t>
      </w:r>
      <w:r>
        <w:rPr>
          <w:rFonts w:hint="default" w:ascii="仿宋_GB2312" w:hAnsi="华文中宋" w:eastAsia="仿宋_GB2312"/>
          <w:sz w:val="32"/>
          <w:szCs w:val="32"/>
        </w:rPr>
        <w:t>解决方案</w:t>
      </w:r>
      <w:r>
        <w:rPr>
          <w:rFonts w:hint="eastAsia" w:ascii="仿宋_GB2312" w:hAnsi="华文中宋" w:eastAsia="仿宋_GB2312"/>
          <w:sz w:val="32"/>
          <w:szCs w:val="32"/>
        </w:rPr>
        <w:t>是融合5G、云计算、大数据等信息技术，为主管部门和学校提供</w:t>
      </w:r>
      <w:r>
        <w:rPr>
          <w:rFonts w:hint="default" w:ascii="仿宋_GB2312" w:hAnsi="华文中宋" w:eastAsia="仿宋_GB2312"/>
          <w:sz w:val="32"/>
          <w:szCs w:val="32"/>
        </w:rPr>
        <w:t>“云管端”一体化的信息化解决方案</w:t>
      </w:r>
      <w:r>
        <w:rPr>
          <w:rFonts w:hint="eastAsia" w:ascii="仿宋_GB2312" w:hAnsi="华文中宋" w:eastAsia="仿宋_GB2312"/>
          <w:sz w:val="32"/>
          <w:szCs w:val="32"/>
        </w:rPr>
        <w:t>。TO G</w:t>
      </w:r>
      <w:r>
        <w:rPr>
          <w:rFonts w:hint="default" w:ascii="仿宋_GB2312" w:hAnsi="华文中宋" w:eastAsia="仿宋_GB2312"/>
          <w:sz w:val="32"/>
          <w:szCs w:val="32"/>
        </w:rPr>
        <w:t>针对</w:t>
      </w:r>
      <w:r>
        <w:rPr>
          <w:rFonts w:hint="eastAsia" w:ascii="仿宋_GB2312" w:hAnsi="华文中宋" w:eastAsia="仿宋_GB2312"/>
          <w:sz w:val="32"/>
          <w:szCs w:val="32"/>
        </w:rPr>
        <w:t>省、市、区县教育局</w:t>
      </w:r>
      <w:r>
        <w:rPr>
          <w:rFonts w:hint="default" w:ascii="仿宋_GB2312" w:hAnsi="华文中宋" w:eastAsia="仿宋_GB2312"/>
          <w:sz w:val="32"/>
          <w:szCs w:val="32"/>
        </w:rPr>
        <w:t>教育不均衡、管理效率不高的痛点，</w:t>
      </w:r>
      <w:r>
        <w:rPr>
          <w:rFonts w:hint="eastAsia" w:ascii="仿宋_GB2312" w:hAnsi="华文中宋" w:eastAsia="仿宋_GB2312"/>
          <w:sz w:val="32"/>
          <w:szCs w:val="32"/>
        </w:rPr>
        <w:t>打造区域性平台，提供教师发展与教学评估系统、学生综合素质评价系统、区域教育大数据等服务。TO B面向各级学校，</w:t>
      </w:r>
      <w:r>
        <w:rPr>
          <w:rFonts w:hint="default" w:ascii="仿宋_GB2312" w:hAnsi="华文中宋" w:eastAsia="仿宋_GB2312"/>
          <w:sz w:val="32"/>
          <w:szCs w:val="32"/>
        </w:rPr>
        <w:t>聚焦学校教学水平不均、家校共育无抓手、个性化教学不足的痛点，</w:t>
      </w:r>
      <w:r>
        <w:rPr>
          <w:rFonts w:hint="eastAsia" w:ascii="仿宋_GB2312" w:hAnsi="华文中宋" w:eastAsia="仿宋_GB2312"/>
          <w:sz w:val="32"/>
          <w:szCs w:val="32"/>
        </w:rPr>
        <w:t>提供智慧课堂、平安校园、校园一卡通三大核心场景应用，提升各级学校教育信息化水平。</w:t>
      </w:r>
    </w:p>
    <w:p>
      <w:pPr>
        <w:pStyle w:val="22"/>
        <w:keepNext/>
        <w:keepLines/>
        <w:pageBreakBefore w:val="0"/>
        <w:widowControl w:val="0"/>
        <w:numPr>
          <w:numId w:val="0"/>
        </w:numPr>
        <w:kinsoku/>
        <w:wordWrap/>
        <w:overflowPunct/>
        <w:topLinePunct w:val="0"/>
        <w:autoSpaceDE/>
        <w:autoSpaceDN/>
        <w:bidi w:val="0"/>
        <w:adjustRightInd/>
        <w:snapToGrid/>
        <w:spacing w:before="240" w:after="240" w:line="560" w:lineRule="exact"/>
        <w:ind w:left="0" w:leftChars="0" w:right="0" w:rightChars="0" w:firstLine="643" w:firstLineChars="200"/>
        <w:jc w:val="both"/>
        <w:textAlignment w:val="auto"/>
        <w:outlineLvl w:val="0"/>
        <w:rPr>
          <w:rFonts w:ascii="黑体" w:hAnsi="黑体" w:eastAsia="黑体"/>
          <w:sz w:val="32"/>
          <w:szCs w:val="32"/>
        </w:rPr>
      </w:pPr>
      <w:bookmarkStart w:id="0" w:name="_Toc29579121"/>
      <w:r>
        <w:rPr>
          <w:rFonts w:hint="default" w:ascii="黑体" w:hAnsi="黑体" w:eastAsia="黑体"/>
          <w:sz w:val="32"/>
          <w:szCs w:val="32"/>
        </w:rPr>
        <w:t>一、</w:t>
      </w:r>
      <w:r>
        <w:rPr>
          <w:rFonts w:hint="eastAsia" w:ascii="黑体" w:hAnsi="黑体" w:eastAsia="黑体"/>
          <w:sz w:val="32"/>
          <w:szCs w:val="32"/>
        </w:rPr>
        <w:t>国家政策</w:t>
      </w:r>
      <w:bookmarkEnd w:id="0"/>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1、《教育信息化 2.0 行动计划》提出“三全两高一大“概念，目标为信息技术与教育学深度融合。《计划》明确，将通过数字资源服务普及行动、网络学习空间覆盖行动、网络扶智工程攻坚行动、教育治理能力优化行动、百区千校万课引领行动、数字校园规范建设行动、智慧教育创新发展行动、信息素养全面提升行动等8大实施行动，到2022年基本实现“三全两高一大”的发展目标。</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2、《智慧校园总体框架》明确提出国标管委会发布，提出“智慧校园”分为智慧教学环境、智慧教学资源、智慧校园生活、智慧校园管理四大模块。</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3、《中小学数字校园建设规范(试行)》明确中小学数字校园“云网端”技术架构、评价标准等，指出智慧校园是数字校园的发展和提升。</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4、《教育部办公厅关于“智慧教育示范区”建设项目推荐遴选工作的通知》提出全面加强各级各类学校数字校园建设，促进数字校园应用全面深入普及。</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5、2019年9月19日，教育部联合十部委发布《关于促进在线教育健康发展的指导意见》要求“抓住第五代移动通信技术(5G)商用契机，加快推动物联网、云计算、虚拟现实等技术在教育领域的规模化应用”。</w:t>
      </w:r>
    </w:p>
    <w:p>
      <w:pPr>
        <w:pStyle w:val="22"/>
        <w:keepNext/>
        <w:keepLines/>
        <w:pageBreakBefore w:val="0"/>
        <w:widowControl w:val="0"/>
        <w:numPr>
          <w:numId w:val="0"/>
        </w:numPr>
        <w:kinsoku/>
        <w:wordWrap/>
        <w:overflowPunct/>
        <w:topLinePunct w:val="0"/>
        <w:autoSpaceDE/>
        <w:autoSpaceDN/>
        <w:bidi w:val="0"/>
        <w:adjustRightInd/>
        <w:snapToGrid/>
        <w:spacing w:before="240" w:after="240" w:line="560" w:lineRule="exact"/>
        <w:ind w:left="0" w:leftChars="0" w:right="0" w:rightChars="0" w:firstLine="643" w:firstLineChars="200"/>
        <w:jc w:val="both"/>
        <w:textAlignment w:val="auto"/>
        <w:outlineLvl w:val="0"/>
        <w:rPr>
          <w:rFonts w:ascii="黑体" w:hAnsi="黑体" w:eastAsia="黑体"/>
          <w:sz w:val="32"/>
          <w:szCs w:val="32"/>
        </w:rPr>
      </w:pPr>
      <w:bookmarkStart w:id="1" w:name="_Toc29579122"/>
      <w:r>
        <w:rPr>
          <w:rFonts w:hint="default" w:ascii="黑体" w:hAnsi="黑体" w:eastAsia="黑体"/>
          <w:sz w:val="32"/>
          <w:szCs w:val="32"/>
        </w:rPr>
        <w:t>二、</w:t>
      </w:r>
      <w:r>
        <w:rPr>
          <w:rFonts w:hint="eastAsia" w:ascii="黑体" w:hAnsi="黑体" w:eastAsia="黑体"/>
          <w:sz w:val="32"/>
          <w:szCs w:val="32"/>
        </w:rPr>
        <w:t>市场分析</w:t>
      </w:r>
      <w:bookmarkEnd w:id="1"/>
    </w:p>
    <w:p>
      <w:pPr>
        <w:spacing w:line="560" w:lineRule="exact"/>
        <w:ind w:firstLine="643" w:firstLineChars="200"/>
        <w:rPr>
          <w:rFonts w:hint="eastAsia" w:ascii="楷体" w:hAnsi="楷体" w:eastAsia="楷体" w:cs="楷体"/>
          <w:sz w:val="32"/>
          <w:szCs w:val="32"/>
        </w:rPr>
      </w:pPr>
      <w:r>
        <w:rPr>
          <w:rFonts w:hint="eastAsia" w:ascii="楷体" w:hAnsi="楷体" w:eastAsia="楷体" w:cs="楷体"/>
          <w:b/>
          <w:bCs/>
          <w:sz w:val="32"/>
          <w:szCs w:val="32"/>
        </w:rPr>
        <w:t>（一）智慧校园规模空间巨大</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2018年全国k12学校数量约41万所，平均按每所学校15万元投资教育信息化软硬件建设，全国智慧校园市场规模达到621亿元，智慧校园市场规模巨大。</w:t>
      </w:r>
    </w:p>
    <w:p>
      <w:pPr>
        <w:spacing w:line="56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（二）竞争对手跑马圈地</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钉钉未来校园启动“千校计划”，通过整合钉钉软件、硬件优势，及钉钉生态伙伴力量，面向全国幼儿园、中小学提供数字化运营管理平台，共建1000所“未来校园”示范学校、孵化10000名数字化管理师。各家头部公司都在跑马圈地，抢智慧校园学校用户。</w:t>
      </w:r>
    </w:p>
    <w:p>
      <w:pPr>
        <w:spacing w:line="56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（三）智慧校园已成为拉动收入的有力增长点</w:t>
      </w:r>
    </w:p>
    <w:p>
      <w:pPr>
        <w:spacing w:line="560" w:lineRule="exact"/>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去年，全国智慧校园建设全速发展，全国5000个教育信息化大单中，含“智慧校园”关键词的项目多达495个，含“大数据”、“人工智能”、“超算”、“机器人”关键词的项目超过200个。</w:t>
      </w:r>
    </w:p>
    <w:p>
      <w:pPr>
        <w:spacing w:before="156" w:beforeLines="50" w:after="156" w:afterLines="50" w:line="560" w:lineRule="exact"/>
        <w:ind w:firstLine="640" w:firstLineChars="200"/>
        <w:jc w:val="left"/>
        <w:rPr>
          <w:rFonts w:ascii="仿宋" w:hAnsi="仿宋" w:eastAsia="仿宋" w:cs="仿宋_GB2312"/>
          <w:sz w:val="32"/>
          <w:szCs w:val="32"/>
        </w:rPr>
      </w:pPr>
    </w:p>
    <w:p>
      <w:pPr>
        <w:pStyle w:val="22"/>
        <w:keepNext/>
        <w:keepLines/>
        <w:pageBreakBefore w:val="0"/>
        <w:widowControl w:val="0"/>
        <w:numPr>
          <w:ilvl w:val="0"/>
          <w:numId w:val="0"/>
        </w:numPr>
        <w:kinsoku/>
        <w:wordWrap/>
        <w:overflowPunct/>
        <w:topLinePunct w:val="0"/>
        <w:autoSpaceDE/>
        <w:autoSpaceDN/>
        <w:bidi w:val="0"/>
        <w:adjustRightInd/>
        <w:snapToGrid/>
        <w:spacing w:before="240" w:after="240" w:line="560" w:lineRule="exact"/>
        <w:ind w:left="0" w:leftChars="0" w:right="0" w:rightChars="0" w:firstLine="643" w:firstLineChars="200"/>
        <w:jc w:val="both"/>
        <w:textAlignment w:val="auto"/>
        <w:outlineLvl w:val="0"/>
        <w:rPr>
          <w:rFonts w:hint="default" w:ascii="黑体" w:hAnsi="黑体" w:eastAsia="黑体"/>
          <w:sz w:val="32"/>
          <w:szCs w:val="32"/>
        </w:rPr>
      </w:pPr>
      <w:bookmarkStart w:id="2" w:name="_Toc29579123"/>
      <w:r>
        <w:rPr>
          <w:rFonts w:hint="default" w:ascii="黑体" w:hAnsi="黑体" w:eastAsia="黑体"/>
          <w:sz w:val="32"/>
          <w:szCs w:val="32"/>
        </w:rPr>
        <w:t>三、</w:t>
      </w:r>
      <w:r>
        <w:rPr>
          <w:rFonts w:hint="eastAsia" w:ascii="黑体" w:hAnsi="黑体" w:eastAsia="黑体"/>
          <w:sz w:val="32"/>
          <w:szCs w:val="32"/>
        </w:rPr>
        <w:t>方案</w:t>
      </w:r>
      <w:bookmarkEnd w:id="2"/>
      <w:r>
        <w:rPr>
          <w:rFonts w:hint="eastAsia" w:ascii="黑体" w:hAnsi="黑体" w:eastAsia="黑体"/>
          <w:sz w:val="32"/>
          <w:szCs w:val="32"/>
        </w:rPr>
        <w:t>简介</w:t>
      </w:r>
    </w:p>
    <w:p>
      <w:pPr>
        <w:spacing w:line="560" w:lineRule="exact"/>
        <w:ind w:firstLine="640" w:firstLineChars="200"/>
        <w:rPr>
          <w:rFonts w:hint="default" w:ascii="仿宋_GB2312" w:hAnsi="华文中宋" w:eastAsia="仿宋_GB2312"/>
          <w:sz w:val="32"/>
          <w:szCs w:val="32"/>
        </w:rPr>
      </w:pPr>
      <w:bookmarkStart w:id="3" w:name="_Toc29807012"/>
      <w:r>
        <w:rPr>
          <w:rFonts w:hint="default" w:ascii="仿宋_GB2312" w:hAnsi="华文中宋" w:eastAsia="仿宋_GB2312"/>
          <w:sz w:val="32"/>
          <w:szCs w:val="32"/>
        </w:rPr>
        <w:t>面向</w:t>
      </w:r>
      <w:r>
        <w:rPr>
          <w:rFonts w:hint="eastAsia" w:ascii="仿宋_GB2312" w:hAnsi="华文中宋" w:eastAsia="仿宋_GB2312"/>
          <w:sz w:val="32"/>
          <w:szCs w:val="32"/>
        </w:rPr>
        <w:t>各省市县教育局、电教馆、教育技术中心等教育主管部门（TO G）</w:t>
      </w:r>
      <w:r>
        <w:rPr>
          <w:rFonts w:hint="eastAsia" w:ascii="仿宋_GB2312" w:hAnsi="华文中宋" w:eastAsia="仿宋_GB2312"/>
          <w:sz w:val="32"/>
          <w:szCs w:val="32"/>
        </w:rPr>
        <w:t>、</w:t>
      </w:r>
      <w:r>
        <w:rPr>
          <w:rFonts w:hint="eastAsia" w:ascii="仿宋_GB2312" w:hAnsi="华文中宋" w:eastAsia="仿宋_GB2312"/>
          <w:sz w:val="32"/>
          <w:szCs w:val="32"/>
        </w:rPr>
        <w:t>全学段学校（TO B）</w:t>
      </w:r>
      <w:r>
        <w:rPr>
          <w:rFonts w:hint="default" w:ascii="仿宋_GB2312" w:hAnsi="华文中宋" w:eastAsia="仿宋_GB2312"/>
          <w:sz w:val="32"/>
          <w:szCs w:val="32"/>
        </w:rPr>
        <w:t>两类目标客户，分别提供核心场景，方案如下：</w:t>
      </w:r>
    </w:p>
    <w:bookmarkEnd w:id="3"/>
    <w:p>
      <w:pPr>
        <w:numPr>
          <w:ilvl w:val="0"/>
          <w:numId w:val="2"/>
        </w:num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T</w:t>
      </w:r>
      <w:r>
        <w:rPr>
          <w:rFonts w:ascii="楷体" w:hAnsi="楷体" w:eastAsia="楷体"/>
          <w:b/>
          <w:bCs/>
          <w:sz w:val="32"/>
          <w:szCs w:val="32"/>
        </w:rPr>
        <w:t>O G</w:t>
      </w:r>
      <w:r>
        <w:rPr>
          <w:rFonts w:hint="eastAsia" w:ascii="楷体" w:hAnsi="楷体" w:eastAsia="楷体"/>
          <w:b/>
          <w:bCs/>
          <w:sz w:val="32"/>
          <w:szCs w:val="32"/>
        </w:rPr>
        <w:t>端</w:t>
      </w:r>
    </w:p>
    <w:p>
      <w:pPr>
        <w:spacing w:line="560" w:lineRule="exact"/>
        <w:ind w:firstLine="640" w:firstLineChars="200"/>
        <w:rPr>
          <w:rFonts w:hint="eastAsia" w:ascii="仿宋_GB2312" w:hAnsi="楷体" w:eastAsia="仿宋_GB2312" w:cs="仿宋"/>
          <w:sz w:val="32"/>
          <w:szCs w:val="32"/>
        </w:rPr>
      </w:pPr>
      <w:r>
        <w:rPr>
          <w:rFonts w:hint="eastAsia" w:ascii="仿宋_GB2312" w:hAnsi="楷体" w:eastAsia="仿宋_GB2312" w:cs="仿宋"/>
          <w:sz w:val="32"/>
          <w:szCs w:val="32"/>
        </w:rPr>
        <w:t>聚焦地方教育局对互联网+教育大平台建设和管理效能提升需求，推广智慧校园区域性平台，提供教师发展与教学评估、学生综合素质评价、区域教育大数据等刚需应用系统：</w:t>
      </w:r>
    </w:p>
    <w:p>
      <w:pPr>
        <w:spacing w:line="560" w:lineRule="exact"/>
        <w:ind w:firstLine="643" w:firstLineChars="200"/>
        <w:rPr>
          <w:rFonts w:hint="eastAsia" w:ascii="仿宋_GB2312" w:hAnsi="楷体" w:eastAsia="仿宋_GB2312" w:cs="仿宋"/>
          <w:sz w:val="32"/>
          <w:szCs w:val="32"/>
        </w:rPr>
      </w:pPr>
      <w:bookmarkStart w:id="4" w:name="_Hlk29806575"/>
      <w:r>
        <w:rPr>
          <w:rFonts w:hint="eastAsia" w:ascii="仿宋_GB2312" w:hAnsi="楷体" w:eastAsia="仿宋_GB2312" w:cs="仿宋"/>
          <w:b/>
          <w:bCs/>
          <w:sz w:val="32"/>
          <w:szCs w:val="32"/>
        </w:rPr>
        <w:t>1、教师发展与教学评估系统</w:t>
      </w:r>
      <w:r>
        <w:rPr>
          <w:rFonts w:hint="eastAsia" w:ascii="仿宋_GB2312" w:hAnsi="楷体" w:eastAsia="仿宋_GB2312" w:cs="仿宋"/>
          <w:sz w:val="32"/>
          <w:szCs w:val="32"/>
        </w:rPr>
        <w:t>。构建区域性视角的教师发展及教学评估管理服务，包括教师简历、教学过程、学术科研、教学成果、荣誉奖励、信息素养提升、教师风采等功能。</w:t>
      </w:r>
    </w:p>
    <w:p>
      <w:pPr>
        <w:spacing w:line="560" w:lineRule="exact"/>
        <w:ind w:firstLine="643" w:firstLineChars="200"/>
        <w:rPr>
          <w:rFonts w:hint="eastAsia" w:ascii="仿宋_GB2312" w:hAnsi="楷体" w:eastAsia="仿宋_GB2312" w:cs="仿宋"/>
          <w:sz w:val="32"/>
          <w:szCs w:val="32"/>
        </w:rPr>
      </w:pPr>
      <w:r>
        <w:rPr>
          <w:rFonts w:hint="eastAsia" w:ascii="仿宋_GB2312" w:hAnsi="楷体" w:eastAsia="仿宋_GB2312" w:cs="仿宋"/>
          <w:b/>
          <w:bCs/>
          <w:sz w:val="32"/>
          <w:szCs w:val="32"/>
        </w:rPr>
        <w:t>2、学生综合素质评价系统。</w:t>
      </w:r>
      <w:r>
        <w:rPr>
          <w:rFonts w:hint="eastAsia" w:ascii="仿宋_GB2312" w:hAnsi="楷体" w:eastAsia="仿宋_GB2312" w:cs="仿宋"/>
          <w:sz w:val="32"/>
          <w:szCs w:val="32"/>
        </w:rPr>
        <w:t>构建区域性视角的学生综合素质评价管理服务，包括荣誉表彰、学生风采、社会实践、评估报告、成长档案、共享阅读、校园活动、社团管理、留言寄语等功能。</w:t>
      </w:r>
    </w:p>
    <w:p>
      <w:pPr>
        <w:spacing w:line="560" w:lineRule="exact"/>
        <w:ind w:firstLine="643" w:firstLineChars="200"/>
        <w:rPr>
          <w:rFonts w:hint="eastAsia" w:ascii="仿宋_GB2312" w:hAnsi="仿宋" w:eastAsia="仿宋_GB2312"/>
          <w:bCs/>
          <w:sz w:val="32"/>
          <w:szCs w:val="32"/>
        </w:rPr>
      </w:pPr>
      <w:r>
        <w:rPr>
          <w:rFonts w:hint="eastAsia" w:ascii="仿宋_GB2312" w:hAnsi="楷体" w:eastAsia="仿宋_GB2312" w:cs="仿宋"/>
          <w:b/>
          <w:bCs/>
          <w:sz w:val="32"/>
          <w:szCs w:val="32"/>
        </w:rPr>
        <w:t>3、区域教育大数据系统。</w:t>
      </w:r>
      <w:r>
        <w:rPr>
          <w:rFonts w:hint="eastAsia" w:ascii="仿宋_GB2312" w:hAnsi="楷体" w:eastAsia="仿宋_GB2312" w:cs="仿宋"/>
          <w:sz w:val="32"/>
          <w:szCs w:val="32"/>
        </w:rPr>
        <w:t>构建区域性视角的教育大数据分析服务，包括区域学生成长分析、区域教师发展分析、区域班级管理分析、区域学校运营分析、区域教育决策分析等功能。</w:t>
      </w:r>
    </w:p>
    <w:bookmarkEnd w:id="4"/>
    <w:p>
      <w:pPr>
        <w:numPr>
          <w:ilvl w:val="0"/>
          <w:numId w:val="2"/>
        </w:num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T</w:t>
      </w:r>
      <w:r>
        <w:rPr>
          <w:rFonts w:ascii="楷体" w:hAnsi="楷体" w:eastAsia="楷体"/>
          <w:b/>
          <w:bCs/>
          <w:sz w:val="32"/>
          <w:szCs w:val="32"/>
        </w:rPr>
        <w:t>O B</w:t>
      </w:r>
      <w:r>
        <w:rPr>
          <w:rFonts w:hint="eastAsia" w:ascii="楷体" w:hAnsi="楷体" w:eastAsia="楷体"/>
          <w:b/>
          <w:bCs/>
          <w:sz w:val="32"/>
          <w:szCs w:val="32"/>
        </w:rPr>
        <w:t>端</w:t>
      </w:r>
    </w:p>
    <w:p>
      <w:pPr>
        <w:spacing w:line="560" w:lineRule="exact"/>
        <w:ind w:firstLine="640" w:firstLineChars="200"/>
        <w:rPr>
          <w:rFonts w:hint="eastAsia" w:ascii="仿宋" w:hAnsi="仿宋" w:eastAsia="仿宋" w:cs="仿宋"/>
          <w:sz w:val="32"/>
          <w:szCs w:val="32"/>
        </w:rPr>
      </w:pPr>
      <w:r>
        <w:rPr>
          <w:rFonts w:hint="eastAsia" w:ascii="仿宋_GB2312" w:hAnsi="楷体" w:eastAsia="仿宋_GB2312" w:cs="仿宋"/>
          <w:sz w:val="32"/>
          <w:szCs w:val="32"/>
        </w:rPr>
        <w:t>依托“移动云”基础设施，基于“校园专线网络”，通过智慧校园软件平台接入学校“智能硬件终端”，为各学校提供包括但不限于智慧课堂、平安校园、校园一卡通等场景的“云网端”一体化解决方案，具体如下：</w:t>
      </w:r>
    </w:p>
    <w:p>
      <w:pPr>
        <w:spacing w:line="560" w:lineRule="exact"/>
        <w:ind w:firstLine="643" w:firstLineChars="200"/>
        <w:rPr>
          <w:rFonts w:hint="eastAsia" w:ascii="仿宋_GB2312" w:hAnsi="楷体" w:eastAsia="仿宋_GB2312" w:cs="仿宋"/>
          <w:sz w:val="32"/>
          <w:szCs w:val="32"/>
        </w:rPr>
      </w:pPr>
      <w:r>
        <w:rPr>
          <w:rFonts w:hint="eastAsia" w:ascii="仿宋_GB2312" w:hAnsi="楷体" w:eastAsia="仿宋_GB2312" w:cs="仿宋"/>
          <w:b/>
          <w:bCs/>
          <w:sz w:val="32"/>
          <w:szCs w:val="32"/>
        </w:rPr>
        <w:t>1、智慧课堂场景。四硬+两软，</w:t>
      </w:r>
      <w:r>
        <w:rPr>
          <w:rFonts w:hint="eastAsia" w:ascii="仿宋_GB2312" w:hAnsi="楷体" w:eastAsia="仿宋_GB2312" w:cs="仿宋"/>
          <w:sz w:val="32"/>
          <w:szCs w:val="32"/>
        </w:rPr>
        <w:t>提供互动学生卡、智慧学习笔、电子白板、电子班牌四款硬件，师生同屏互动、学情分析两款软件应用，打造互动、高效、智能的课堂教学场景服务。</w:t>
      </w:r>
    </w:p>
    <w:p>
      <w:pPr>
        <w:spacing w:line="560" w:lineRule="exact"/>
        <w:ind w:firstLine="643" w:firstLineChars="200"/>
        <w:rPr>
          <w:rFonts w:hint="eastAsia" w:ascii="仿宋_GB2312" w:hAnsi="楷体" w:eastAsia="仿宋_GB2312" w:cs="仿宋"/>
          <w:sz w:val="32"/>
          <w:szCs w:val="32"/>
        </w:rPr>
      </w:pPr>
      <w:r>
        <w:rPr>
          <w:rFonts w:hint="eastAsia" w:ascii="仿宋_GB2312" w:hAnsi="楷体" w:eastAsia="仿宋_GB2312"/>
          <w:b/>
          <w:bCs/>
          <w:sz w:val="32"/>
          <w:szCs w:val="32"/>
        </w:rPr>
        <w:t>2、平安校园场景。</w:t>
      </w:r>
      <w:r>
        <w:rPr>
          <w:rFonts w:hint="eastAsia" w:ascii="仿宋_GB2312" w:hAnsi="仿宋" w:eastAsia="仿宋_GB2312"/>
          <w:b/>
          <w:sz w:val="32"/>
          <w:szCs w:val="32"/>
        </w:rPr>
        <w:t>三硬+三软，</w:t>
      </w:r>
      <w:r>
        <w:rPr>
          <w:rFonts w:hint="eastAsia" w:ascii="仿宋_GB2312" w:hAnsi="楷体" w:eastAsia="仿宋_GB2312" w:cs="仿宋"/>
          <w:sz w:val="32"/>
          <w:szCs w:val="32"/>
        </w:rPr>
        <w:t>提供高清摄像头、电子围栏、一键报警三款硬件产品，出入校管理、访客管理、晨午检三款软件应用，打造安全、可靠、智能的校园安防管理服务。</w:t>
      </w:r>
    </w:p>
    <w:p>
      <w:pPr>
        <w:spacing w:line="560" w:lineRule="exact"/>
        <w:ind w:firstLine="640" w:firstLineChars="200"/>
        <w:rPr>
          <w:rFonts w:hint="eastAsia" w:ascii="仿宋_GB2312" w:hAnsi="楷体" w:eastAsia="仿宋_GB2312" w:cs="仿宋"/>
          <w:sz w:val="32"/>
          <w:szCs w:val="32"/>
        </w:rPr>
      </w:pPr>
      <w:r>
        <w:rPr>
          <w:rFonts w:hint="eastAsia" w:ascii="仿宋_GB2312" w:hAnsi="仿宋" w:eastAsia="仿宋_GB2312"/>
          <w:bCs/>
          <w:sz w:val="32"/>
          <w:szCs w:val="32"/>
        </w:rPr>
        <w:t>3、</w:t>
      </w:r>
      <w:r>
        <w:rPr>
          <w:rFonts w:hint="eastAsia" w:ascii="仿宋_GB2312" w:hAnsi="楷体" w:eastAsia="仿宋_GB2312"/>
          <w:b/>
          <w:bCs/>
          <w:sz w:val="32"/>
          <w:szCs w:val="32"/>
        </w:rPr>
        <w:t>校园一卡通场景。</w:t>
      </w:r>
      <w:r>
        <w:rPr>
          <w:rFonts w:ascii="仿宋" w:hAnsi="仿宋" w:eastAsia="仿宋"/>
          <w:b/>
          <w:sz w:val="32"/>
          <w:szCs w:val="32"/>
        </w:rPr>
        <w:t>一卡四功能</w:t>
      </w:r>
      <w:r>
        <w:rPr>
          <w:rFonts w:ascii="仿宋" w:hAnsi="仿宋" w:eastAsia="仿宋"/>
          <w:bCs/>
          <w:sz w:val="32"/>
          <w:szCs w:val="32"/>
        </w:rPr>
        <w:t>，</w:t>
      </w:r>
      <w:r>
        <w:rPr>
          <w:rFonts w:hint="eastAsia" w:ascii="仿宋_GB2312" w:hAnsi="楷体" w:eastAsia="仿宋_GB2312" w:cs="仿宋"/>
          <w:sz w:val="32"/>
          <w:szCs w:val="32"/>
        </w:rPr>
        <w:t>提供互动学生卡，及校园通话、校园消费、校园考勤、课堂互动四款软件应用，打造集约、便捷、智能的校园一卡通服务。</w:t>
      </w:r>
    </w:p>
    <w:p>
      <w:pPr>
        <w:pStyle w:val="22"/>
        <w:keepNext/>
        <w:keepLines/>
        <w:pageBreakBefore w:val="0"/>
        <w:widowControl w:val="0"/>
        <w:numPr>
          <w:ilvl w:val="0"/>
          <w:numId w:val="0"/>
        </w:numPr>
        <w:kinsoku/>
        <w:wordWrap/>
        <w:overflowPunct/>
        <w:topLinePunct w:val="0"/>
        <w:autoSpaceDE/>
        <w:autoSpaceDN/>
        <w:bidi w:val="0"/>
        <w:adjustRightInd/>
        <w:snapToGrid/>
        <w:spacing w:before="240" w:after="240" w:line="560" w:lineRule="exact"/>
        <w:ind w:left="0" w:leftChars="0" w:right="0" w:rightChars="0" w:firstLine="643" w:firstLineChars="200"/>
        <w:jc w:val="both"/>
        <w:textAlignment w:val="auto"/>
        <w:outlineLvl w:val="0"/>
        <w:rPr>
          <w:rFonts w:hint="default" w:ascii="黑体" w:hAnsi="黑体" w:eastAsia="黑体"/>
          <w:sz w:val="32"/>
          <w:szCs w:val="32"/>
        </w:rPr>
      </w:pPr>
      <w:bookmarkStart w:id="5" w:name="_Toc29579124"/>
      <w:bookmarkStart w:id="6" w:name="_GoBack"/>
      <w:bookmarkEnd w:id="6"/>
      <w:r>
        <w:rPr>
          <w:rFonts w:hint="default" w:ascii="黑体" w:hAnsi="黑体" w:eastAsia="黑体"/>
          <w:sz w:val="32"/>
          <w:szCs w:val="32"/>
        </w:rPr>
        <w:t>四、</w:t>
      </w:r>
      <w:r>
        <w:rPr>
          <w:rFonts w:hint="eastAsia" w:ascii="黑体" w:hAnsi="黑体" w:eastAsia="黑体"/>
          <w:sz w:val="32"/>
          <w:szCs w:val="32"/>
        </w:rPr>
        <w:t>拓展策略</w:t>
      </w:r>
      <w:bookmarkEnd w:id="5"/>
    </w:p>
    <w:p>
      <w:pPr>
        <w:numPr>
          <w:ilvl w:val="0"/>
          <w:numId w:val="3"/>
        </w:numPr>
        <w:spacing w:line="560" w:lineRule="exact"/>
        <w:ind w:firstLine="643" w:firstLineChars="200"/>
        <w:rPr>
          <w:rFonts w:ascii="楷体" w:hAnsi="楷体" w:eastAsia="楷体"/>
          <w:b/>
          <w:bCs/>
          <w:sz w:val="32"/>
          <w:szCs w:val="32"/>
        </w:rPr>
      </w:pPr>
      <w:r>
        <w:rPr>
          <w:rFonts w:ascii="楷体" w:hAnsi="楷体" w:eastAsia="楷体"/>
          <w:b/>
          <w:bCs/>
          <w:sz w:val="32"/>
          <w:szCs w:val="32"/>
        </w:rPr>
        <w:t>抓关键</w:t>
      </w:r>
    </w:p>
    <w:p>
      <w:pPr>
        <w:spacing w:line="560" w:lineRule="exact"/>
        <w:ind w:firstLine="640" w:firstLineChars="200"/>
        <w:rPr>
          <w:rFonts w:ascii="楷体" w:hAnsi="楷体" w:eastAsia="楷体"/>
          <w:b/>
          <w:bCs/>
          <w:sz w:val="32"/>
          <w:szCs w:val="32"/>
        </w:rPr>
      </w:pPr>
      <w:r>
        <w:rPr>
          <w:rFonts w:hint="eastAsia" w:ascii="仿宋_GB2312" w:hAnsi="楷体" w:eastAsia="仿宋_GB2312" w:cs="仿宋"/>
          <w:sz w:val="32"/>
          <w:szCs w:val="32"/>
        </w:rPr>
        <w:t>G端抓各省市县教育局、电教馆、教育技术中心等教育主管部门决策领导；B端抓主管信息化建设的分管校领导。</w:t>
      </w:r>
    </w:p>
    <w:p>
      <w:pPr>
        <w:numPr>
          <w:ilvl w:val="0"/>
          <w:numId w:val="3"/>
        </w:numPr>
        <w:spacing w:line="560" w:lineRule="exact"/>
        <w:ind w:firstLine="643" w:firstLineChars="200"/>
        <w:rPr>
          <w:rFonts w:ascii="楷体" w:hAnsi="楷体" w:eastAsia="楷体"/>
          <w:b/>
          <w:bCs/>
          <w:sz w:val="32"/>
          <w:szCs w:val="32"/>
        </w:rPr>
      </w:pPr>
      <w:r>
        <w:rPr>
          <w:rFonts w:ascii="楷体" w:hAnsi="楷体" w:eastAsia="楷体"/>
          <w:b/>
          <w:bCs/>
          <w:sz w:val="32"/>
          <w:szCs w:val="32"/>
        </w:rPr>
        <w:t>抓热点</w:t>
      </w:r>
    </w:p>
    <w:p>
      <w:pPr>
        <w:spacing w:line="560" w:lineRule="exact"/>
        <w:ind w:firstLine="640" w:firstLineChars="200"/>
        <w:rPr>
          <w:rFonts w:hint="eastAsia" w:ascii="仿宋_GB2312" w:hAnsi="楷体" w:eastAsia="仿宋_GB2312" w:cs="仿宋"/>
          <w:sz w:val="32"/>
          <w:szCs w:val="32"/>
        </w:rPr>
      </w:pPr>
      <w:r>
        <w:rPr>
          <w:rFonts w:hint="eastAsia" w:ascii="仿宋_GB2312" w:hAnsi="楷体" w:eastAsia="仿宋_GB2312" w:cs="仿宋"/>
          <w:sz w:val="32"/>
          <w:szCs w:val="32"/>
        </w:rPr>
        <w:t>在提供教师发展与教学评估、学生综合素质评价、区域教育大数据等刚需应用基础上，结合5G智慧教育、薄改、雪亮校园、教育扶贫、教育示范区建设等政策热点需求，提供差异化服务，抢抓大单。</w:t>
      </w:r>
    </w:p>
    <w:p>
      <w:pPr>
        <w:numPr>
          <w:ilvl w:val="0"/>
          <w:numId w:val="3"/>
        </w:numPr>
        <w:spacing w:line="560" w:lineRule="exact"/>
        <w:ind w:firstLine="643" w:firstLineChars="200"/>
        <w:rPr>
          <w:rFonts w:ascii="楷体" w:hAnsi="楷体" w:eastAsia="楷体"/>
          <w:b/>
          <w:bCs/>
          <w:sz w:val="32"/>
          <w:szCs w:val="32"/>
        </w:rPr>
      </w:pPr>
      <w:r>
        <w:rPr>
          <w:rFonts w:ascii="楷体" w:hAnsi="楷体" w:eastAsia="楷体"/>
          <w:b/>
          <w:bCs/>
          <w:sz w:val="32"/>
          <w:szCs w:val="32"/>
        </w:rPr>
        <w:t>G带B</w:t>
      </w:r>
    </w:p>
    <w:p>
      <w:pPr>
        <w:spacing w:line="560" w:lineRule="exact"/>
        <w:ind w:firstLine="640" w:firstLineChars="200"/>
        <w:rPr>
          <w:rFonts w:hint="eastAsia" w:ascii="仿宋_GB2312" w:hAnsi="仿宋" w:eastAsia="仿宋_GB2312" w:cs="仿宋"/>
          <w:sz w:val="32"/>
          <w:szCs w:val="32"/>
        </w:rPr>
      </w:pPr>
      <w:r>
        <w:rPr>
          <w:rFonts w:hint="eastAsia" w:ascii="仿宋_GB2312" w:hAnsi="楷体" w:eastAsia="仿宋_GB2312" w:cs="仿宋"/>
          <w:sz w:val="32"/>
          <w:szCs w:val="32"/>
        </w:rPr>
        <w:t>TO G采用前期免费，后期收费方式，向各地区县教育局推区域性智慧校园平台并发文或通知让辖区学校试用，带动辖区各个学校使用智慧校园平台，快速上量。</w:t>
      </w:r>
    </w:p>
    <w:p>
      <w:pPr>
        <w:numPr>
          <w:ilvl w:val="0"/>
          <w:numId w:val="3"/>
        </w:numPr>
        <w:spacing w:line="560" w:lineRule="exact"/>
        <w:ind w:firstLine="643" w:firstLineChars="200"/>
        <w:rPr>
          <w:rFonts w:ascii="楷体" w:hAnsi="楷体" w:eastAsia="楷体"/>
          <w:b/>
          <w:bCs/>
          <w:sz w:val="32"/>
          <w:szCs w:val="32"/>
        </w:rPr>
      </w:pPr>
      <w:r>
        <w:rPr>
          <w:rFonts w:ascii="楷体" w:hAnsi="楷体" w:eastAsia="楷体"/>
          <w:b/>
          <w:bCs/>
          <w:sz w:val="32"/>
          <w:szCs w:val="32"/>
        </w:rPr>
        <w:t>重运营</w:t>
      </w:r>
    </w:p>
    <w:p>
      <w:pPr>
        <w:spacing w:line="560" w:lineRule="exact"/>
        <w:ind w:firstLine="640" w:firstLineChars="200"/>
        <w:rPr>
          <w:rFonts w:hint="eastAsia" w:ascii="仿宋_GB2312" w:hAnsi="楷体" w:eastAsia="仿宋_GB2312" w:cs="仿宋"/>
          <w:sz w:val="32"/>
          <w:szCs w:val="32"/>
        </w:rPr>
      </w:pPr>
      <w:r>
        <w:rPr>
          <w:rFonts w:hint="eastAsia" w:ascii="仿宋_GB2312" w:hAnsi="楷体" w:eastAsia="仿宋_GB2312" w:cs="仿宋"/>
          <w:sz w:val="32"/>
          <w:szCs w:val="32"/>
        </w:rPr>
        <w:t>自主掌控核心平台系统，沉淀用户数据及画像，实现基于大数据分析的二次营销，引导并锁定客户远期项目。</w:t>
      </w:r>
    </w:p>
    <w:p>
      <w:pPr>
        <w:numPr>
          <w:ilvl w:val="0"/>
          <w:numId w:val="3"/>
        </w:numPr>
        <w:spacing w:line="560" w:lineRule="exact"/>
        <w:ind w:firstLine="643" w:firstLineChars="200"/>
        <w:rPr>
          <w:rFonts w:ascii="楷体" w:hAnsi="楷体" w:eastAsia="楷体"/>
          <w:b/>
          <w:bCs/>
          <w:sz w:val="32"/>
          <w:szCs w:val="32"/>
        </w:rPr>
      </w:pPr>
      <w:r>
        <w:rPr>
          <w:rFonts w:ascii="楷体" w:hAnsi="楷体" w:eastAsia="楷体"/>
          <w:b/>
          <w:bCs/>
          <w:sz w:val="32"/>
          <w:szCs w:val="32"/>
        </w:rPr>
        <w:t>建生态</w:t>
      </w:r>
    </w:p>
    <w:p>
      <w:pPr>
        <w:spacing w:line="560" w:lineRule="exact"/>
        <w:ind w:firstLine="640" w:firstLineChars="200"/>
        <w:rPr>
          <w:rFonts w:hint="eastAsia" w:ascii="仿宋_GB2312" w:hAnsi="楷体" w:eastAsia="仿宋_GB2312" w:cs="仿宋"/>
          <w:sz w:val="32"/>
          <w:szCs w:val="32"/>
        </w:rPr>
      </w:pPr>
      <w:r>
        <w:rPr>
          <w:rFonts w:hint="default" w:ascii="仿宋_GB2312" w:hAnsi="楷体" w:eastAsia="仿宋_GB2312" w:cs="仿宋"/>
          <w:sz w:val="32"/>
          <w:szCs w:val="32"/>
        </w:rPr>
        <w:t>广纳合作伙伴，提供灵活的</w:t>
      </w:r>
      <w:r>
        <w:rPr>
          <w:rFonts w:hint="eastAsia" w:ascii="仿宋_GB2312" w:hAnsi="楷体" w:eastAsia="仿宋_GB2312" w:cs="仿宋"/>
          <w:sz w:val="32"/>
          <w:szCs w:val="32"/>
        </w:rPr>
        <w:t>商务模式</w:t>
      </w:r>
      <w:r>
        <w:rPr>
          <w:rFonts w:hint="default" w:ascii="仿宋_GB2312" w:hAnsi="楷体" w:eastAsia="仿宋_GB2312" w:cs="仿宋"/>
          <w:sz w:val="32"/>
          <w:szCs w:val="32"/>
        </w:rPr>
        <w:t>：</w:t>
      </w:r>
    </w:p>
    <w:p>
      <w:pPr>
        <w:spacing w:line="560" w:lineRule="exact"/>
        <w:ind w:firstLine="709"/>
        <w:rPr>
          <w:rFonts w:hint="eastAsia" w:ascii="仿宋_GB2312" w:hAnsi="楷体" w:eastAsia="仿宋_GB2312" w:cs="仿宋"/>
          <w:sz w:val="32"/>
          <w:szCs w:val="32"/>
        </w:rPr>
      </w:pPr>
      <w:r>
        <w:rPr>
          <w:rFonts w:hint="eastAsia" w:ascii="仿宋_GB2312" w:hAnsi="楷体" w:eastAsia="仿宋_GB2312" w:cs="仿宋"/>
          <w:b/>
          <w:bCs/>
          <w:sz w:val="32"/>
          <w:szCs w:val="32"/>
        </w:rPr>
        <w:t>1、软硬件采购模式。</w:t>
      </w:r>
      <w:r>
        <w:rPr>
          <w:rFonts w:hint="eastAsia" w:ascii="仿宋_GB2312" w:hAnsi="楷体" w:eastAsia="仿宋_GB2312" w:cs="仿宋"/>
          <w:sz w:val="32"/>
          <w:szCs w:val="32"/>
        </w:rPr>
        <w:t>指省公司向软硬件厂商根据客户需求采购软硬件。</w:t>
      </w:r>
    </w:p>
    <w:p>
      <w:pPr>
        <w:spacing w:line="560" w:lineRule="exact"/>
        <w:ind w:firstLine="709"/>
        <w:rPr>
          <w:rFonts w:hint="eastAsia" w:ascii="仿宋_GB2312" w:hAnsi="楷体" w:eastAsia="仿宋_GB2312" w:cs="仿宋"/>
          <w:sz w:val="32"/>
          <w:szCs w:val="32"/>
        </w:rPr>
      </w:pPr>
      <w:r>
        <w:rPr>
          <w:rFonts w:hint="eastAsia" w:ascii="仿宋_GB2312" w:hAnsi="楷体" w:eastAsia="仿宋_GB2312" w:cs="仿宋"/>
          <w:b/>
          <w:bCs/>
          <w:sz w:val="32"/>
          <w:szCs w:val="32"/>
        </w:rPr>
        <w:t>2、软硬件合作分成模式。</w:t>
      </w:r>
      <w:r>
        <w:rPr>
          <w:rFonts w:hint="eastAsia" w:ascii="仿宋_GB2312" w:hAnsi="楷体" w:eastAsia="仿宋_GB2312" w:cs="仿宋"/>
          <w:sz w:val="32"/>
          <w:szCs w:val="32"/>
        </w:rPr>
        <w:t>指省公司或专业公司将软硬件产品进行合作引入，按照合作引入管理办法，与软硬件厂商合作分成。</w:t>
      </w:r>
    </w:p>
    <w:p>
      <w:pPr>
        <w:spacing w:line="560" w:lineRule="exact"/>
        <w:ind w:firstLine="709"/>
        <w:rPr>
          <w:rFonts w:hint="eastAsia" w:ascii="仿宋_GB2312" w:hAnsi="楷体" w:eastAsia="仿宋_GB2312" w:cs="仿宋"/>
          <w:sz w:val="32"/>
          <w:szCs w:val="32"/>
        </w:rPr>
      </w:pPr>
      <w:r>
        <w:rPr>
          <w:rFonts w:hint="eastAsia" w:ascii="仿宋_GB2312" w:hAnsi="楷体" w:eastAsia="仿宋_GB2312" w:cs="仿宋"/>
          <w:b/>
          <w:bCs/>
          <w:sz w:val="32"/>
          <w:szCs w:val="32"/>
        </w:rPr>
        <w:t>3、硬件垫资模式。</w:t>
      </w:r>
      <w:r>
        <w:rPr>
          <w:rFonts w:hint="eastAsia" w:ascii="仿宋_GB2312" w:hAnsi="楷体" w:eastAsia="仿宋_GB2312" w:cs="仿宋"/>
          <w:sz w:val="32"/>
          <w:szCs w:val="32"/>
        </w:rPr>
        <w:t>指硬件厂商前期投入硬件，省公司向客户分期收取使用服务费，省公司再分期支付使用服务费给硬件垫资厂商。</w:t>
      </w:r>
    </w:p>
    <w:p>
      <w:pPr>
        <w:pStyle w:val="21"/>
        <w:spacing w:line="560" w:lineRule="exact"/>
        <w:ind w:firstLine="640"/>
        <w:jc w:val="left"/>
        <w:rPr>
          <w:rFonts w:hint="eastAsia" w:ascii="仿宋_GB2312" w:hAnsi="仿宋_GB2312" w:eastAsia="仿宋_GB2312" w:cs="仿宋_GB2312"/>
          <w:color w:val="FF0000"/>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703060505090304"/>
    <w:charset w:val="86"/>
    <w:family w:val="roman"/>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panose1 w:val="020F0702030404030204"/>
    <w:charset w:val="00"/>
    <w:family w:val="swiss"/>
    <w:pitch w:val="default"/>
    <w:sig w:usb0="E10002FF" w:usb1="4000ACFF" w:usb2="00000009" w:usb3="00000000" w:csb0="2000019F"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Wingdings">
    <w:panose1 w:val="05000000000000000000"/>
    <w:charset w:val="02"/>
    <w:family w:val="auto"/>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等线 Light">
    <w:altName w:val="汉仪中等线KW"/>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Arial">
    <w:panose1 w:val="020B0604020202090204"/>
    <w:charset w:val="01"/>
    <w:family w:val="swiss"/>
    <w:pitch w:val="default"/>
    <w:sig w:usb0="E0000AFF" w:usb1="00007843" w:usb2="00000001" w:usb3="00000000" w:csb0="400001BF" w:csb1="DFF70000"/>
  </w:font>
  <w:font w:name="Courier New">
    <w:panose1 w:val="020706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Light">
    <w:altName w:val="Helvetica Neue"/>
    <w:panose1 w:val="020F0302020204030204"/>
    <w:charset w:val="00"/>
    <w:family w:val="swiss"/>
    <w:pitch w:val="default"/>
    <w:sig w:usb0="00000000" w:usb1="00000000"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Helvetica Neue">
    <w:panose1 w:val="02000503000000020004"/>
    <w:charset w:val="00"/>
    <w:family w:val="auto"/>
    <w:pitch w:val="default"/>
    <w:sig w:usb0="E50002FF" w:usb1="500079DB" w:usb2="0000001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儷黑 Pro">
    <w:panose1 w:val="020B0500000000000000"/>
    <w:charset w:val="88"/>
    <w:family w:val="auto"/>
    <w:pitch w:val="default"/>
    <w:sig w:usb0="80000001" w:usb1="28091800" w:usb2="00000016" w:usb3="00000000" w:csb0="001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7813834"/>
    </w:sdtPr>
    <w:sdtContent>
      <w:p>
        <w:pPr>
          <w:pStyle w:val="10"/>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drawing>
        <wp:inline distT="0" distB="0" distL="0" distR="0">
          <wp:extent cx="788670" cy="2476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55249" cy="268539"/>
                  </a:xfrm>
                  <a:prstGeom prst="rect">
                    <a:avLst/>
                  </a:prstGeom>
                  <a:noFill/>
                  <a:ln>
                    <a:noFill/>
                  </a:ln>
                </pic:spPr>
              </pic:pic>
            </a:graphicData>
          </a:graphic>
        </wp:inline>
      </w:drawing>
    </w:r>
    <w:r>
      <w:rPr>
        <w:rFonts w:hint="eastAsia"/>
      </w:rPr>
      <w:t xml:space="preserve"> </w:t>
    </w:r>
    <w:r>
      <w:t xml:space="preserve">                                                       </w:t>
    </w:r>
    <w:r>
      <w:rPr>
        <w:rFonts w:hint="eastAsia"/>
      </w:rPr>
      <w:t>X</w:t>
    </w:r>
    <w:r>
      <w:t>XXX</w:t>
    </w:r>
    <w:r>
      <w:rPr>
        <w:rFonts w:hint="eastAsia"/>
      </w:rPr>
      <w:t>解决方案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01562"/>
    <w:multiLevelType w:val="multilevel"/>
    <w:tmpl w:val="54C01562"/>
    <w:lvl w:ilvl="0" w:tentative="0">
      <w:start w:val="1"/>
      <w:numFmt w:val="chineseCountingThousand"/>
      <w:pStyle w:val="22"/>
      <w:lvlText w:val="%1、"/>
      <w:lvlJc w:val="left"/>
      <w:pPr>
        <w:ind w:left="0" w:firstLine="0"/>
      </w:pPr>
      <w:rPr>
        <w:rFonts w:hint="eastAsia"/>
      </w:rPr>
    </w:lvl>
    <w:lvl w:ilvl="1" w:tentative="0">
      <w:start w:val="1"/>
      <w:numFmt w:val="decimal"/>
      <w:pStyle w:val="23"/>
      <w:suff w:val="space"/>
      <w:lvlText w:val="%1.%2"/>
      <w:lvlJc w:val="left"/>
      <w:pPr>
        <w:ind w:left="142" w:firstLine="0"/>
      </w:pPr>
      <w:rPr>
        <w:rFonts w:hint="default" w:ascii="Times New Roman" w:hAnsi="Times New Roman" w:cs="Times New Roman"/>
      </w:rPr>
    </w:lvl>
    <w:lvl w:ilvl="2" w:tentative="0">
      <w:start w:val="1"/>
      <w:numFmt w:val="decimal"/>
      <w:pStyle w:val="24"/>
      <w:suff w:val="space"/>
      <w:lvlText w:val="%1.%2.%3"/>
      <w:lvlJc w:val="left"/>
      <w:pPr>
        <w:ind w:left="0" w:firstLine="0"/>
      </w:pPr>
      <w:rPr>
        <w:rFonts w:hint="default" w:ascii="Times New Roman" w:hAnsi="Times New Roman" w:cs="Times New Roman"/>
      </w:rPr>
    </w:lvl>
    <w:lvl w:ilvl="3" w:tentative="0">
      <w:start w:val="1"/>
      <w:numFmt w:val="decimal"/>
      <w:pStyle w:val="25"/>
      <w:suff w:val="space"/>
      <w:lvlText w:val="%1.%2.%3.%4"/>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pStyle w:val="26"/>
      <w:suff w:val="space"/>
      <w:lvlText w:val="%1.%2.%3.%4.%5"/>
      <w:lvlJc w:val="left"/>
      <w:pPr>
        <w:ind w:left="0" w:firstLine="0"/>
      </w:pPr>
      <w:rPr>
        <w:rFonts w:hint="default" w:ascii="Times New Roman" w:hAnsi="Times New Roman" w:cs="Times New Roman"/>
      </w:rPr>
    </w:lvl>
    <w:lvl w:ilvl="5" w:tentative="0">
      <w:start w:val="1"/>
      <w:numFmt w:val="decimal"/>
      <w:pStyle w:val="27"/>
      <w:suff w:val="space"/>
      <w:lvlText w:val="%1.%2.%3.%4.%5.%6"/>
      <w:lvlJc w:val="left"/>
      <w:pPr>
        <w:ind w:left="0" w:firstLine="0"/>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5E1BDE1D"/>
    <w:multiLevelType w:val="singleLevel"/>
    <w:tmpl w:val="5E1BDE1D"/>
    <w:lvl w:ilvl="0" w:tentative="0">
      <w:start w:val="1"/>
      <w:numFmt w:val="chineseCounting"/>
      <w:suff w:val="nothing"/>
      <w:lvlText w:val="（%1）"/>
      <w:lvlJc w:val="left"/>
    </w:lvl>
  </w:abstractNum>
  <w:abstractNum w:abstractNumId="2">
    <w:nsid w:val="5E1BE1C2"/>
    <w:multiLevelType w:val="singleLevel"/>
    <w:tmpl w:val="5E1BE1C2"/>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008F"/>
    <w:rsid w:val="000505A1"/>
    <w:rsid w:val="00077E5B"/>
    <w:rsid w:val="0009034C"/>
    <w:rsid w:val="000A2BC1"/>
    <w:rsid w:val="000B30EB"/>
    <w:rsid w:val="000C1213"/>
    <w:rsid w:val="000E68D2"/>
    <w:rsid w:val="000F37DB"/>
    <w:rsid w:val="001144A3"/>
    <w:rsid w:val="00125F24"/>
    <w:rsid w:val="001D265E"/>
    <w:rsid w:val="002D1CEE"/>
    <w:rsid w:val="0034008F"/>
    <w:rsid w:val="003F6D07"/>
    <w:rsid w:val="004566A9"/>
    <w:rsid w:val="00494A7C"/>
    <w:rsid w:val="00497A05"/>
    <w:rsid w:val="004A4967"/>
    <w:rsid w:val="005033CE"/>
    <w:rsid w:val="005533E0"/>
    <w:rsid w:val="00591777"/>
    <w:rsid w:val="005921BD"/>
    <w:rsid w:val="006130A8"/>
    <w:rsid w:val="006363B0"/>
    <w:rsid w:val="00636BC1"/>
    <w:rsid w:val="006545CC"/>
    <w:rsid w:val="006B7ACA"/>
    <w:rsid w:val="0076717A"/>
    <w:rsid w:val="007921E7"/>
    <w:rsid w:val="007E5F20"/>
    <w:rsid w:val="007F1570"/>
    <w:rsid w:val="008A3057"/>
    <w:rsid w:val="008E2147"/>
    <w:rsid w:val="00981C78"/>
    <w:rsid w:val="009879F7"/>
    <w:rsid w:val="009950AD"/>
    <w:rsid w:val="00BD06FA"/>
    <w:rsid w:val="00C60E08"/>
    <w:rsid w:val="00C75AA9"/>
    <w:rsid w:val="00DA3A09"/>
    <w:rsid w:val="00E531E8"/>
    <w:rsid w:val="00EA22A9"/>
    <w:rsid w:val="00EE226E"/>
    <w:rsid w:val="0AAB1A08"/>
    <w:rsid w:val="33F5CC90"/>
    <w:rsid w:val="3E759E4A"/>
    <w:rsid w:val="53EEEB1B"/>
    <w:rsid w:val="55EAFCB3"/>
    <w:rsid w:val="5DED53EE"/>
    <w:rsid w:val="5F3D0B2B"/>
    <w:rsid w:val="6CFDCB5C"/>
    <w:rsid w:val="6E7BA5AA"/>
    <w:rsid w:val="777B5173"/>
    <w:rsid w:val="77FFCFC7"/>
    <w:rsid w:val="7A7FAEBA"/>
    <w:rsid w:val="7CAE2D65"/>
    <w:rsid w:val="7E6FA43E"/>
    <w:rsid w:val="7E7EB6B6"/>
    <w:rsid w:val="7E7FE5BA"/>
    <w:rsid w:val="7ECE5EB7"/>
    <w:rsid w:val="7F5DB227"/>
    <w:rsid w:val="7FDF7A82"/>
    <w:rsid w:val="7FE2B2DD"/>
    <w:rsid w:val="86AF0912"/>
    <w:rsid w:val="D5DDA023"/>
    <w:rsid w:val="D76E394C"/>
    <w:rsid w:val="D7BAAFA1"/>
    <w:rsid w:val="DEECE50D"/>
    <w:rsid w:val="F77C4A00"/>
    <w:rsid w:val="F7BE4A2C"/>
    <w:rsid w:val="F8C39C52"/>
    <w:rsid w:val="FD9C1677"/>
    <w:rsid w:val="FD9F9123"/>
    <w:rsid w:val="FDFBFCFD"/>
    <w:rsid w:val="FF698918"/>
    <w:rsid w:val="FF9F053C"/>
    <w:rsid w:val="FFBF1066"/>
    <w:rsid w:val="FFCFD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unhideWhenUsed/>
    <w:qFormat/>
    <w:uiPriority w:val="9"/>
    <w:pPr>
      <w:keepNext/>
      <w:keepLines/>
      <w:spacing w:before="240" w:after="64" w:line="320" w:lineRule="auto"/>
      <w:outlineLvl w:val="5"/>
    </w:pPr>
    <w:rPr>
      <w:rFonts w:asciiTheme="majorHAnsi" w:hAnsiTheme="majorHAnsi" w:eastAsiaTheme="majorEastAsia" w:cstheme="majorBidi"/>
      <w:b/>
      <w:bCs/>
      <w:szCs w:val="24"/>
    </w:rPr>
  </w:style>
  <w:style w:type="character" w:default="1" w:styleId="15">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8">
    <w:name w:val="toc 3"/>
    <w:basedOn w:val="1"/>
    <w:next w:val="1"/>
    <w:unhideWhenUsed/>
    <w:qFormat/>
    <w:uiPriority w:val="39"/>
    <w:pPr>
      <w:widowControl/>
      <w:spacing w:after="100" w:line="259" w:lineRule="auto"/>
      <w:ind w:left="440"/>
      <w:jc w:val="left"/>
    </w:pPr>
    <w:rPr>
      <w:rFonts w:cs="Times New Roman" w:asciiTheme="minorHAnsi" w:hAnsiTheme="minorHAnsi" w:eastAsiaTheme="minorEastAsia"/>
      <w:kern w:val="0"/>
      <w:sz w:val="22"/>
    </w:rPr>
  </w:style>
  <w:style w:type="paragraph" w:styleId="9">
    <w:name w:val="Balloon Text"/>
    <w:basedOn w:val="1"/>
    <w:link w:val="38"/>
    <w:unhideWhenUsed/>
    <w:qFormat/>
    <w:uiPriority w:val="99"/>
    <w:pPr>
      <w:spacing w:line="240" w:lineRule="auto"/>
    </w:pPr>
    <w:rPr>
      <w:sz w:val="18"/>
      <w:szCs w:val="18"/>
    </w:rPr>
  </w:style>
  <w:style w:type="paragraph" w:styleId="10">
    <w:name w:val="footer"/>
    <w:basedOn w:val="1"/>
    <w:link w:val="20"/>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59" w:lineRule="auto"/>
      <w:jc w:val="left"/>
    </w:pPr>
    <w:rPr>
      <w:rFonts w:cs="Times New Roman" w:asciiTheme="minorHAnsi" w:hAnsiTheme="minorHAnsi" w:eastAsiaTheme="minorEastAsia"/>
      <w:kern w:val="0"/>
      <w:sz w:val="22"/>
    </w:rPr>
  </w:style>
  <w:style w:type="paragraph" w:styleId="13">
    <w:name w:val="toc 2"/>
    <w:basedOn w:val="1"/>
    <w:next w:val="1"/>
    <w:unhideWhenUsed/>
    <w:qFormat/>
    <w:uiPriority w:val="39"/>
    <w:pPr>
      <w:widowControl/>
      <w:spacing w:after="100" w:line="259" w:lineRule="auto"/>
      <w:ind w:left="220"/>
      <w:jc w:val="left"/>
    </w:pPr>
    <w:rPr>
      <w:rFonts w:cs="Times New Roman" w:asciiTheme="minorHAnsi" w:hAnsiTheme="minorHAnsi" w:eastAsiaTheme="minorEastAsia"/>
      <w:kern w:val="0"/>
      <w:sz w:val="22"/>
    </w:rPr>
  </w:style>
  <w:style w:type="paragraph" w:styleId="14">
    <w:name w:val="Normal (Web)"/>
    <w:basedOn w:val="1"/>
    <w:unhideWhenUsed/>
    <w:qFormat/>
    <w:uiPriority w:val="99"/>
    <w:pPr>
      <w:widowControl/>
      <w:spacing w:before="100" w:beforeAutospacing="1" w:after="100" w:afterAutospacing="1" w:line="240" w:lineRule="auto"/>
      <w:jc w:val="left"/>
    </w:pPr>
    <w:rPr>
      <w:rFonts w:ascii="宋体" w:hAnsi="宋体" w:cs="宋体"/>
      <w:kern w:val="0"/>
      <w:szCs w:val="24"/>
    </w:rPr>
  </w:style>
  <w:style w:type="character" w:styleId="16">
    <w:name w:val="FollowedHyperlink"/>
    <w:basedOn w:val="15"/>
    <w:unhideWhenUsed/>
    <w:qFormat/>
    <w:uiPriority w:val="99"/>
    <w:rPr>
      <w:color w:val="954F72" w:themeColor="followedHyperlink"/>
      <w:u w:val="single"/>
    </w:rPr>
  </w:style>
  <w:style w:type="character" w:styleId="17">
    <w:name w:val="Hyperlink"/>
    <w:basedOn w:val="15"/>
    <w:unhideWhenUsed/>
    <w:qFormat/>
    <w:uiPriority w:val="99"/>
    <w:rPr>
      <w:color w:val="0563C1" w:themeColor="hyperlink"/>
      <w:u w:val="single"/>
    </w:rPr>
  </w:style>
  <w:style w:type="character" w:customStyle="1" w:styleId="19">
    <w:name w:val="页眉 字符"/>
    <w:basedOn w:val="15"/>
    <w:link w:val="11"/>
    <w:qFormat/>
    <w:uiPriority w:val="99"/>
    <w:rPr>
      <w:sz w:val="18"/>
      <w:szCs w:val="18"/>
    </w:rPr>
  </w:style>
  <w:style w:type="character" w:customStyle="1" w:styleId="20">
    <w:name w:val="页脚 字符"/>
    <w:basedOn w:val="15"/>
    <w:link w:val="10"/>
    <w:qFormat/>
    <w:uiPriority w:val="99"/>
    <w:rPr>
      <w:sz w:val="18"/>
      <w:szCs w:val="18"/>
    </w:rPr>
  </w:style>
  <w:style w:type="paragraph" w:customStyle="1" w:styleId="21">
    <w:name w:val="List Paragraph"/>
    <w:basedOn w:val="1"/>
    <w:link w:val="28"/>
    <w:qFormat/>
    <w:uiPriority w:val="34"/>
    <w:pPr>
      <w:ind w:firstLine="420" w:firstLineChars="200"/>
    </w:pPr>
  </w:style>
  <w:style w:type="paragraph" w:customStyle="1" w:styleId="22">
    <w:name w:val="HK Heading 1"/>
    <w:basedOn w:val="2"/>
    <w:next w:val="1"/>
    <w:qFormat/>
    <w:uiPriority w:val="0"/>
    <w:pPr>
      <w:numPr>
        <w:ilvl w:val="0"/>
        <w:numId w:val="1"/>
      </w:numPr>
      <w:spacing w:before="240" w:after="240" w:line="360" w:lineRule="auto"/>
    </w:pPr>
  </w:style>
  <w:style w:type="paragraph" w:customStyle="1" w:styleId="23">
    <w:name w:val="HK Heading 2"/>
    <w:basedOn w:val="3"/>
    <w:next w:val="1"/>
    <w:qFormat/>
    <w:uiPriority w:val="0"/>
    <w:pPr>
      <w:numPr>
        <w:ilvl w:val="1"/>
        <w:numId w:val="1"/>
      </w:numPr>
      <w:spacing w:before="120" w:after="120" w:line="360" w:lineRule="auto"/>
    </w:pPr>
    <w:rPr>
      <w:rFonts w:ascii="Times New Roman" w:hAnsi="Times New Roman" w:eastAsia="宋体"/>
    </w:rPr>
  </w:style>
  <w:style w:type="paragraph" w:customStyle="1" w:styleId="24">
    <w:name w:val="HK Heading 3"/>
    <w:basedOn w:val="4"/>
    <w:next w:val="1"/>
    <w:qFormat/>
    <w:uiPriority w:val="0"/>
    <w:pPr>
      <w:numPr>
        <w:ilvl w:val="2"/>
        <w:numId w:val="1"/>
      </w:numPr>
      <w:spacing w:before="120" w:after="120" w:line="300" w:lineRule="auto"/>
    </w:pPr>
    <w:rPr>
      <w:rFonts w:eastAsia="黑体"/>
      <w:sz w:val="24"/>
    </w:rPr>
  </w:style>
  <w:style w:type="paragraph" w:customStyle="1" w:styleId="25">
    <w:name w:val="HK Heading 4"/>
    <w:basedOn w:val="5"/>
    <w:next w:val="1"/>
    <w:qFormat/>
    <w:uiPriority w:val="0"/>
    <w:pPr>
      <w:numPr>
        <w:ilvl w:val="3"/>
        <w:numId w:val="1"/>
      </w:numPr>
      <w:spacing w:before="120" w:after="120" w:line="240" w:lineRule="auto"/>
    </w:pPr>
    <w:rPr>
      <w:rFonts w:eastAsia="黑体"/>
      <w:sz w:val="24"/>
    </w:rPr>
  </w:style>
  <w:style w:type="paragraph" w:customStyle="1" w:styleId="26">
    <w:name w:val="HK Heading 5"/>
    <w:basedOn w:val="6"/>
    <w:next w:val="1"/>
    <w:qFormat/>
    <w:uiPriority w:val="0"/>
    <w:pPr>
      <w:numPr>
        <w:ilvl w:val="4"/>
        <w:numId w:val="1"/>
      </w:numPr>
      <w:spacing w:before="120" w:after="120" w:line="240" w:lineRule="auto"/>
    </w:pPr>
    <w:rPr>
      <w:b w:val="0"/>
      <w:sz w:val="24"/>
    </w:rPr>
  </w:style>
  <w:style w:type="paragraph" w:customStyle="1" w:styleId="27">
    <w:name w:val="HK Heading 6"/>
    <w:basedOn w:val="7"/>
    <w:next w:val="1"/>
    <w:qFormat/>
    <w:uiPriority w:val="0"/>
    <w:pPr>
      <w:numPr>
        <w:ilvl w:val="5"/>
        <w:numId w:val="1"/>
      </w:numPr>
      <w:spacing w:before="0" w:after="0" w:line="300" w:lineRule="auto"/>
    </w:pPr>
    <w:rPr>
      <w:b w:val="0"/>
      <w:sz w:val="21"/>
    </w:rPr>
  </w:style>
  <w:style w:type="character" w:customStyle="1" w:styleId="28">
    <w:name w:val="列表段落 字符"/>
    <w:link w:val="21"/>
    <w:qFormat/>
    <w:uiPriority w:val="34"/>
    <w:rPr>
      <w:rFonts w:ascii="Times New Roman" w:hAnsi="Times New Roman" w:eastAsia="宋体"/>
      <w:sz w:val="24"/>
    </w:rPr>
  </w:style>
  <w:style w:type="character" w:customStyle="1" w:styleId="29">
    <w:name w:val="标题 1 字符"/>
    <w:basedOn w:val="15"/>
    <w:link w:val="2"/>
    <w:qFormat/>
    <w:uiPriority w:val="9"/>
    <w:rPr>
      <w:rFonts w:ascii="Times New Roman" w:hAnsi="Times New Roman" w:eastAsia="宋体"/>
      <w:b/>
      <w:bCs/>
      <w:kern w:val="44"/>
      <w:sz w:val="44"/>
      <w:szCs w:val="44"/>
    </w:rPr>
  </w:style>
  <w:style w:type="character" w:customStyle="1" w:styleId="30">
    <w:name w:val="标题 2 字符"/>
    <w:basedOn w:val="15"/>
    <w:link w:val="3"/>
    <w:semiHidden/>
    <w:qFormat/>
    <w:uiPriority w:val="9"/>
    <w:rPr>
      <w:rFonts w:asciiTheme="majorHAnsi" w:hAnsiTheme="majorHAnsi" w:eastAsiaTheme="majorEastAsia" w:cstheme="majorBidi"/>
      <w:b/>
      <w:bCs/>
      <w:sz w:val="32"/>
      <w:szCs w:val="32"/>
    </w:rPr>
  </w:style>
  <w:style w:type="character" w:customStyle="1" w:styleId="31">
    <w:name w:val="标题 3 字符"/>
    <w:basedOn w:val="15"/>
    <w:link w:val="4"/>
    <w:semiHidden/>
    <w:qFormat/>
    <w:uiPriority w:val="9"/>
    <w:rPr>
      <w:rFonts w:ascii="Times New Roman" w:hAnsi="Times New Roman" w:eastAsia="宋体"/>
      <w:b/>
      <w:bCs/>
      <w:sz w:val="32"/>
      <w:szCs w:val="32"/>
    </w:rPr>
  </w:style>
  <w:style w:type="character" w:customStyle="1" w:styleId="3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33">
    <w:name w:val="标题 5 字符"/>
    <w:basedOn w:val="15"/>
    <w:link w:val="6"/>
    <w:semiHidden/>
    <w:qFormat/>
    <w:uiPriority w:val="9"/>
    <w:rPr>
      <w:rFonts w:ascii="Times New Roman" w:hAnsi="Times New Roman" w:eastAsia="宋体"/>
      <w:b/>
      <w:bCs/>
      <w:sz w:val="28"/>
      <w:szCs w:val="28"/>
    </w:rPr>
  </w:style>
  <w:style w:type="character" w:customStyle="1" w:styleId="3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35">
    <w:name w:val="fontstyle01"/>
    <w:basedOn w:val="15"/>
    <w:qFormat/>
    <w:uiPriority w:val="0"/>
    <w:rPr>
      <w:color w:val="9B2965"/>
      <w:sz w:val="18"/>
      <w:szCs w:val="18"/>
    </w:rPr>
  </w:style>
  <w:style w:type="paragraph" w:customStyle="1" w:styleId="36">
    <w:name w:val="No Spacing"/>
    <w:qFormat/>
    <w:uiPriority w:val="1"/>
    <w:pPr>
      <w:widowControl w:val="0"/>
      <w:spacing w:line="360" w:lineRule="auto"/>
      <w:jc w:val="center"/>
    </w:pPr>
    <w:rPr>
      <w:rFonts w:ascii="Times New Roman" w:hAnsi="Times New Roman" w:eastAsia="宋体" w:cstheme="minorBidi"/>
      <w:kern w:val="2"/>
      <w:sz w:val="21"/>
      <w:szCs w:val="22"/>
      <w:lang w:val="en-US" w:eastAsia="zh-CN" w:bidi="ar-SA"/>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38">
    <w:name w:val="批注框文本 字符"/>
    <w:basedOn w:val="15"/>
    <w:link w:val="9"/>
    <w:semiHidden/>
    <w:qFormat/>
    <w:uiPriority w:val="99"/>
    <w:rPr>
      <w:rFonts w:ascii="Times New Roman" w:hAnsi="Times New Roman" w:eastAsia="宋体"/>
      <w:sz w:val="18"/>
      <w:szCs w:val="18"/>
    </w:rPr>
  </w:style>
  <w:style w:type="paragraph" w:customStyle="1" w:styleId="39">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82</Words>
  <Characters>469</Characters>
  <Lines>3</Lines>
  <Paragraphs>1</Paragraphs>
  <TotalTime>0</TotalTime>
  <ScaleCrop>false</ScaleCrop>
  <LinksUpToDate>false</LinksUpToDate>
  <CharactersWithSpaces>550</CharactersWithSpaces>
  <Application>WPS Office_1.9.1.2994_F1E327BC-269C-435d-A152-05C5408002CA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2020-01-02T10:22:00Z</dcterms:created>
  <dc:creator>admin</dc:creator>
  <cp:lastModifiedBy>ningbo</cp:lastModifiedBy>
  <dcterms:modified xsi:type="dcterms:W3CDTF">2020-01-13T13:25:56Z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2052-1.9.1.2994</vt:lpwstr>
  </property>
</Properties>
</file>