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6"/>
          <w:szCs w:val="36"/>
          <w:lang w:eastAsia="zh-CN"/>
        </w:rPr>
      </w:pPr>
      <w:r>
        <w:rPr>
          <w:rFonts w:hint="eastAsia"/>
          <w:b/>
          <w:bCs/>
          <w:sz w:val="36"/>
          <w:szCs w:val="36"/>
          <w:lang w:eastAsia="zh-CN"/>
        </w:rPr>
        <w:t>煤业有限公司</w:t>
      </w:r>
    </w:p>
    <w:p>
      <w:pPr>
        <w:jc w:val="center"/>
        <w:rPr>
          <w:rFonts w:hint="eastAsia"/>
          <w:b/>
          <w:bCs/>
          <w:sz w:val="36"/>
          <w:szCs w:val="36"/>
          <w:lang w:eastAsia="zh-CN"/>
        </w:rPr>
      </w:pPr>
      <w:r>
        <w:rPr>
          <w:rFonts w:hint="eastAsia"/>
          <w:b/>
          <w:bCs/>
          <w:sz w:val="36"/>
          <w:szCs w:val="36"/>
          <w:lang w:eastAsia="zh-CN"/>
        </w:rPr>
        <w:t>水害事故应急演练方案</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eastAsiaTheme="minorEastAsia" w:cstheme="minorEastAsia"/>
          <w:b w:val="0"/>
          <w:bCs w:val="0"/>
          <w:sz w:val="28"/>
          <w:szCs w:val="28"/>
          <w:lang w:eastAsia="zh-CN"/>
        </w:rPr>
      </w:pPr>
      <w:r>
        <w:rPr>
          <w:rFonts w:hint="eastAsia" w:asciiTheme="minorEastAsia" w:hAnsiTheme="minorEastAsia" w:eastAsiaTheme="minorEastAsia" w:cstheme="minorEastAsia"/>
          <w:b w:val="0"/>
          <w:bCs w:val="0"/>
          <w:sz w:val="28"/>
          <w:szCs w:val="28"/>
          <w:lang w:eastAsia="zh-CN"/>
        </w:rPr>
        <w:t>为认真贯彻执行为认真贯彻执行“安全第一、预防为主、综合治理”的生产方针，保障矿井安全生产和职工生命安全，根据《煤矿防治水规定》第一百一十五条“煤矿企业、矿井应当根据本单位的主要水害类型和可能发生的水害事故，制定水害应急预案和现场处置方案”的规定和上级有关文件精神要求，结合本矿井的实际情况，特制定《201</w:t>
      </w:r>
      <w:r>
        <w:rPr>
          <w:rFonts w:hint="eastAsia" w:asciiTheme="minorEastAsia" w:hAnsiTheme="minorEastAsia" w:cstheme="minorEastAsia"/>
          <w:b w:val="0"/>
          <w:bCs w:val="0"/>
          <w:sz w:val="28"/>
          <w:szCs w:val="28"/>
          <w:lang w:val="en-US" w:eastAsia="zh-CN"/>
        </w:rPr>
        <w:t>6</w:t>
      </w:r>
      <w:r>
        <w:rPr>
          <w:rFonts w:hint="eastAsia" w:asciiTheme="minorEastAsia" w:hAnsiTheme="minorEastAsia" w:eastAsiaTheme="minorEastAsia" w:cstheme="minorEastAsia"/>
          <w:b w:val="0"/>
          <w:bCs w:val="0"/>
          <w:sz w:val="28"/>
          <w:szCs w:val="28"/>
          <w:lang w:eastAsia="zh-CN"/>
        </w:rPr>
        <w:t>年水害事故应急演练方案》。</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2" w:firstLineChars="200"/>
        <w:jc w:val="left"/>
        <w:textAlignment w:val="auto"/>
        <w:outlineLvl w:val="9"/>
        <w:rPr>
          <w:rFonts w:hint="eastAsia" w:asciiTheme="minorEastAsia" w:hAnsiTheme="minorEastAsia" w:eastAsiaTheme="minorEastAsia" w:cstheme="minorEastAsia"/>
          <w:b w:val="0"/>
          <w:bCs w:val="0"/>
          <w:sz w:val="28"/>
          <w:szCs w:val="28"/>
          <w:lang w:eastAsia="zh-CN"/>
        </w:rPr>
      </w:pPr>
      <w:r>
        <w:rPr>
          <w:rFonts w:hint="eastAsia" w:asciiTheme="minorEastAsia" w:hAnsiTheme="minorEastAsia" w:cstheme="minorEastAsia"/>
          <w:b/>
          <w:bCs/>
          <w:sz w:val="28"/>
          <w:szCs w:val="28"/>
          <w:lang w:eastAsia="zh-CN"/>
        </w:rPr>
        <w:t>一、</w:t>
      </w:r>
      <w:r>
        <w:rPr>
          <w:rFonts w:hint="eastAsia" w:asciiTheme="minorEastAsia" w:hAnsiTheme="minorEastAsia" w:eastAsiaTheme="minorEastAsia" w:cstheme="minorEastAsia"/>
          <w:b/>
          <w:bCs/>
          <w:sz w:val="28"/>
          <w:szCs w:val="28"/>
          <w:lang w:eastAsia="zh-CN"/>
        </w:rPr>
        <w:t>组织机构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eastAsia="zh-CN"/>
        </w:rPr>
      </w:pPr>
      <w:r>
        <w:rPr>
          <w:rFonts w:hint="eastAsia" w:asciiTheme="minorEastAsia" w:hAnsiTheme="minorEastAsia" w:cstheme="minorEastAsia"/>
          <w:b w:val="0"/>
          <w:bCs w:val="0"/>
          <w:sz w:val="28"/>
          <w:szCs w:val="28"/>
          <w:lang w:eastAsia="zh-CN"/>
        </w:rPr>
        <w:t>组</w:t>
      </w:r>
      <w:r>
        <w:rPr>
          <w:rFonts w:hint="eastAsia" w:asciiTheme="minorEastAsia" w:hAnsiTheme="minorEastAsia" w:cstheme="minorEastAsia"/>
          <w:b w:val="0"/>
          <w:bCs w:val="0"/>
          <w:sz w:val="28"/>
          <w:szCs w:val="28"/>
          <w:lang w:val="en-US" w:eastAsia="zh-CN"/>
        </w:rPr>
        <w:t xml:space="preserve">  </w:t>
      </w:r>
      <w:r>
        <w:rPr>
          <w:rFonts w:hint="eastAsia" w:asciiTheme="minorEastAsia" w:hAnsiTheme="minorEastAsia" w:cstheme="minorEastAsia"/>
          <w:b w:val="0"/>
          <w:bCs w:val="0"/>
          <w:sz w:val="28"/>
          <w:szCs w:val="28"/>
          <w:lang w:eastAsia="zh-CN"/>
        </w:rPr>
        <w:t>长：</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eastAsia="zh-CN"/>
        </w:rPr>
      </w:pPr>
      <w:r>
        <w:rPr>
          <w:rFonts w:hint="eastAsia" w:asciiTheme="minorEastAsia" w:hAnsiTheme="minorEastAsia" w:cstheme="minorEastAsia"/>
          <w:b w:val="0"/>
          <w:bCs w:val="0"/>
          <w:sz w:val="28"/>
          <w:szCs w:val="28"/>
          <w:lang w:eastAsia="zh-CN"/>
        </w:rPr>
        <w:t>副组长：</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eastAsia="zh-CN"/>
        </w:rPr>
        <w:t>成</w:t>
      </w:r>
      <w:r>
        <w:rPr>
          <w:rFonts w:hint="eastAsia" w:asciiTheme="minorEastAsia" w:hAnsiTheme="minorEastAsia" w:cstheme="minorEastAsia"/>
          <w:b w:val="0"/>
          <w:bCs w:val="0"/>
          <w:sz w:val="28"/>
          <w:szCs w:val="28"/>
          <w:lang w:val="en-US" w:eastAsia="zh-CN"/>
        </w:rPr>
        <w:t xml:space="preserve">  </w:t>
      </w:r>
      <w:r>
        <w:rPr>
          <w:rFonts w:hint="eastAsia" w:asciiTheme="minorEastAsia" w:hAnsiTheme="minorEastAsia" w:cstheme="minorEastAsia"/>
          <w:b w:val="0"/>
          <w:bCs w:val="0"/>
          <w:sz w:val="28"/>
          <w:szCs w:val="28"/>
          <w:lang w:eastAsia="zh-CN"/>
        </w:rPr>
        <w:t>员：</w:t>
      </w:r>
      <w:r>
        <w:rPr>
          <w:rFonts w:hint="eastAsia" w:asciiTheme="minorEastAsia" w:hAnsiTheme="minorEastAsia" w:cstheme="minorEastAsia"/>
          <w:b w:val="0"/>
          <w:bCs w:val="0"/>
          <w:sz w:val="28"/>
          <w:szCs w:val="28"/>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2" w:firstLineChars="200"/>
        <w:jc w:val="left"/>
        <w:textAlignment w:val="auto"/>
        <w:outlineLvl w:val="9"/>
        <w:rPr>
          <w:rFonts w:hint="eastAsia" w:asciiTheme="minorEastAsia" w:hAnsi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二、模拟灾害演练范围及演练时间：</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演习范围：10101回风顺槽、泵房</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演练时间：2016年4月25日早班，9:00时集合所有人员。</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2"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bCs/>
          <w:sz w:val="28"/>
          <w:szCs w:val="28"/>
          <w:lang w:val="en-US" w:eastAsia="zh-CN"/>
        </w:rPr>
        <w:t>三、演练指挥程序</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1、由总指挥宣布救灾撤人演练开始，下达撤人演练命令。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2、现场模拟10101回风顺槽出现透水预兆：迎头出现渗水，并有增大趋势。模拟信号人员接到演练命令后，发出水害事故信号，通知矿调度室值班调度员。</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3、调度室值班调度员接到险情信号报告通知后，立即启动本矿井《水害事故现场应急演练预案》，根据来水方向、地点、水量等因素，确定人员安全撤离的路径，依据《汛期灾害性天气停产撤人十项规定》及矿井关于对调度员停产撤人授权的规定，迅速通知井下调度员以及受水患影响地点的10101回风顺槽施工人员立即停产撤离升井，并立即向值班领导和矿长汇报，并将水患情况通报周边所有矿井。</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4、调度室调度员及时通知值班矿长、各部门值班人员及相关人员到调度会议室集合，成立救灾指挥部，并及时通知县医院、仓库及相关部门。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5、矿长接到水害事故报告后，立即召集救灾指挥部成员、各应急救援小组到调度室待命，进入抢险紧急状态。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6、救灾指挥部所属各工作组要按各自职责，积极行动、尽职尽责做好抢险救灾工作，并及时将工作情况向救灾指挥部汇报。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7、救灾指挥部迅速判定水害的性质，了解透水地点、影响范围、静止水位，估计突出水量、补给水源及有影响的地面水体。掌握灾区范围、搞清事故前人员分布，分析被困人员可能躲避的地点，以便迅速组织抢救。根据透水量的大小和矿井排水能力，积极采取排、堵、疏的技术措施。</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8、加强通风，防止瓦斯和其它有害气体的积聚和发生缺氧窒息事故。</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9、排水后进行抢险时，要防止冒顶、掉底和二次突水。</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10、抢救和运送长期被困井下的人员时，要防止突然改变其适应的环境和生存条件，造成不应有的伤亡。</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11、对于被水、沙截堵的灾区人员，除应积极组织抢救外，应利用管道或其它方式向遇险人员供风。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12、10101所有施工地点的人员接到矿调度室撤人命令后，在跟班区长、班组长及安全员的带领下，按规定的撤人路线迅速撤离，在撤退过程中绝对听从班组长的统一指挥，不要惊慌失措。所有人员撤到地面后，由带班矿长对撤离人员仔细清点，核对无误后，上报总指挥，总指挥宣布停产撤人应急演练结束。</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2"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bCs/>
          <w:sz w:val="28"/>
          <w:szCs w:val="28"/>
          <w:lang w:val="en-US" w:eastAsia="zh-CN"/>
        </w:rPr>
        <w:t>四、水害事故演练安全技术措施</w:t>
      </w:r>
      <w:r>
        <w:rPr>
          <w:rFonts w:hint="eastAsia" w:asciiTheme="minorEastAsia" w:hAnsiTheme="minorEastAsia" w:cstheme="minorEastAsia"/>
          <w:b w:val="0"/>
          <w:bCs w:val="0"/>
          <w:sz w:val="28"/>
          <w:szCs w:val="28"/>
          <w:lang w:val="en-US" w:eastAsia="zh-CN"/>
        </w:rPr>
        <w:t>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为保证此次演练的顺利进行，保障矿井安全生产和职工生命安全，特制定如下安全技术措施：</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1、认真贯彻学习《2016年度矿井灾害预防和处理计划》、《2016年度重大安全生产事故应急预案》等有关灾害预防及避灾路线等内容，保证所有参加人员必须考试合格，考试不合格者不得参加演习。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2、矿调度室于4月24日联合对井上下通信设备、设施检查维修一遍，确保所有通信设备信号畅通，正常使用。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3、技术科、机电科、安全科、调度室必须严格按照《2016年度矿井灾害预防与处理计划》中的要求检查井下设施和图纸资料，保证齐全完好，准确无误。</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4、演练开始前，主提升绞车要停止使用，并正确使用好各种防跑车设施，等接到演练结束的通知后方能进行正常提升作业。</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6、编制准备好《演练结束后恢复通风和生产的安全技术措施》。</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五、救灾演练过程中注意事项</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（一）、演习过程中，调度室必须严格按照《2016年度矿井灾害预防与处理计划》和《2016年度水害事故现场处置演练方案》的要求做好记录。</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（二）、演练时，井下各施工地点的人员必须绝对服从指挥，在本工作面的跟班区长、班组长、安全员带领下沿以下避灾路线撤离：</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（三）、地面仓库在接到灾情通报后，必须简化物料发放审批手续，专门供应救灾所用物资，停止发放与救灾无关的物资。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六、演练结束后的工作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1、严格按照《演练结束后恢复通风和生产的安全技术措施》对10101回风顺槽恢复通风和供电，直至正常后方可进行生产工作。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2、演练结束后，各有关人员必须立即把演习过程中的记录、数据、发现的问题汇总上报，由小组组长组织人员编写《2016年度水害事故现场应急演练总结报告》。对于演练过程中出现的问题进行分析总结，并限期整改。对违反规定的人员和单位进行考核。</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2" w:firstLineChars="200"/>
        <w:jc w:val="left"/>
        <w:textAlignment w:val="auto"/>
        <w:outlineLvl w:val="9"/>
        <w:rPr>
          <w:rFonts w:hint="eastAsia" w:asciiTheme="minorEastAsia" w:hAnsi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七、演练收集的资料</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1、救灾演练开始时间、结束时间；</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2、模拟灾害事故发出信号的时间；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3、矿调度值班人员通知值班矿长的时间；</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4、通知井下停产撤人的时间；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5、召集矿井救灾小组领导成员（具体到每个人）的时间；</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6、矿井救灾小组领导成员（具体到每个人）到达矿调度会议室的时间；</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7、上下井人员（包括姓名、单位、人数）的统计；</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8、撤人过程中发现的问题。  </w:t>
      </w:r>
    </w:p>
    <w:p>
      <w:pPr>
        <w:numPr>
          <w:ilvl w:val="0"/>
          <w:numId w:val="0"/>
        </w:numPr>
        <w:jc w:val="left"/>
        <w:rPr>
          <w:rFonts w:hint="eastAsia" w:asciiTheme="minorEastAsia" w:hAnsiTheme="minorEastAsia" w:cstheme="minorEastAsia"/>
          <w:b w:val="0"/>
          <w:bCs w:val="0"/>
          <w:sz w:val="28"/>
          <w:szCs w:val="28"/>
          <w:lang w:val="en-US" w:eastAsia="zh-CN"/>
        </w:rPr>
      </w:pPr>
    </w:p>
    <w:p>
      <w:pPr>
        <w:numPr>
          <w:ilvl w:val="0"/>
          <w:numId w:val="0"/>
        </w:numPr>
        <w:jc w:val="left"/>
        <w:rPr>
          <w:rFonts w:hint="eastAsia" w:asciiTheme="minorEastAsia" w:hAnsiTheme="minorEastAsia" w:cstheme="minorEastAsia"/>
          <w:b w:val="0"/>
          <w:bCs w:val="0"/>
          <w:sz w:val="28"/>
          <w:szCs w:val="28"/>
          <w:lang w:val="en-US" w:eastAsia="zh-CN"/>
        </w:rPr>
      </w:pPr>
    </w:p>
    <w:p>
      <w:pPr>
        <w:numPr>
          <w:ilvl w:val="0"/>
          <w:numId w:val="0"/>
        </w:numPr>
        <w:jc w:val="left"/>
        <w:rPr>
          <w:rFonts w:hint="eastAsia" w:asciiTheme="minorEastAsia" w:hAnsiTheme="minorEastAsia" w:cstheme="minorEastAsia"/>
          <w:b w:val="0"/>
          <w:bCs w:val="0"/>
          <w:sz w:val="28"/>
          <w:szCs w:val="28"/>
          <w:lang w:val="en-US" w:eastAsia="zh-CN"/>
        </w:rPr>
      </w:pPr>
    </w:p>
    <w:p>
      <w:pPr>
        <w:numPr>
          <w:ilvl w:val="0"/>
          <w:numId w:val="0"/>
        </w:numPr>
        <w:jc w:val="left"/>
        <w:rPr>
          <w:rFonts w:hint="eastAsia" w:asciiTheme="minorEastAsia" w:hAnsiTheme="minorEastAsia" w:cstheme="minorEastAsia"/>
          <w:b w:val="0"/>
          <w:bCs w:val="0"/>
          <w:sz w:val="28"/>
          <w:szCs w:val="28"/>
          <w:lang w:val="en-US" w:eastAsia="zh-CN"/>
        </w:rPr>
      </w:pPr>
    </w:p>
    <w:p>
      <w:pPr>
        <w:numPr>
          <w:ilvl w:val="0"/>
          <w:numId w:val="0"/>
        </w:numPr>
        <w:jc w:val="left"/>
        <w:rPr>
          <w:rFonts w:hint="eastAsia" w:asciiTheme="minorEastAsia" w:hAnsiTheme="minorEastAsia" w:cstheme="minorEastAsia"/>
          <w:b w:val="0"/>
          <w:bCs w:val="0"/>
          <w:sz w:val="28"/>
          <w:szCs w:val="28"/>
          <w:lang w:val="en-US" w:eastAsia="zh-CN"/>
        </w:rPr>
      </w:pPr>
    </w:p>
    <w:p>
      <w:pPr>
        <w:numPr>
          <w:ilvl w:val="0"/>
          <w:numId w:val="0"/>
        </w:numPr>
        <w:jc w:val="left"/>
        <w:rPr>
          <w:rFonts w:hint="eastAsia" w:asciiTheme="minorEastAsia" w:hAnsiTheme="minorEastAsia" w:cstheme="minorEastAsia"/>
          <w:b w:val="0"/>
          <w:bCs w:val="0"/>
          <w:sz w:val="28"/>
          <w:szCs w:val="28"/>
          <w:lang w:val="en-US" w:eastAsia="zh-CN"/>
        </w:rPr>
      </w:pPr>
    </w:p>
    <w:p>
      <w:pPr>
        <w:numPr>
          <w:ilvl w:val="0"/>
          <w:numId w:val="0"/>
        </w:numPr>
        <w:jc w:val="left"/>
        <w:rPr>
          <w:rFonts w:hint="eastAsia" w:asciiTheme="minorEastAsia" w:hAnsiTheme="minorEastAsia" w:cstheme="minorEastAsia"/>
          <w:b w:val="0"/>
          <w:bCs w:val="0"/>
          <w:sz w:val="28"/>
          <w:szCs w:val="28"/>
          <w:lang w:val="en-US" w:eastAsia="zh-CN"/>
        </w:rPr>
      </w:pPr>
    </w:p>
    <w:p>
      <w:pPr>
        <w:numPr>
          <w:ilvl w:val="0"/>
          <w:numId w:val="0"/>
        </w:numPr>
        <w:jc w:val="center"/>
        <w:rPr>
          <w:rFonts w:hint="eastAsia" w:asciiTheme="minorEastAsia" w:hAnsiTheme="minorEastAsia" w:cstheme="minorEastAsia"/>
          <w:b/>
          <w:bCs/>
          <w:sz w:val="36"/>
          <w:szCs w:val="36"/>
          <w:lang w:val="en-US" w:eastAsia="zh-CN"/>
        </w:rPr>
      </w:pPr>
      <w:r>
        <w:rPr>
          <w:rFonts w:hint="eastAsia" w:asciiTheme="minorEastAsia" w:hAnsiTheme="minorEastAsia" w:cstheme="minorEastAsia"/>
          <w:b/>
          <w:bCs/>
          <w:sz w:val="36"/>
          <w:szCs w:val="36"/>
          <w:lang w:val="en-US" w:eastAsia="zh-CN"/>
        </w:rPr>
        <w:t>演练结束后恢复通风和生产的安全技术措施</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1、恢复生产的顺序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（1）、恢复生产时生产办公室组织有关人员到调度会议室集合，由总工程师组织学习《恢复通风和生产的安全技术措施》后，下井进行检查，无安全隐患后，方可恢复生产。</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2）、根据分工，首先检查各自所负责区域内的进、回风巷之间的联络巷风门，确保完好并正常关闭，且本区域风量满足要求;然后对所负责头、面依次进行恢复通风、送电、送水工作，并对复工前的工程质量及安全生产条件进行全面检查。</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（3）、具备安全生产的条件后，方可开工，否则必须组织人员进行整改。</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2、恢复通风、送电、送水时必须严格遵守下列规定</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（1）、掘进巷道恢复通风时，必须配有两名以上的救护队员</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（兼瓦检员）佩戴自救器，以便发现异常情况及时处理，恢复通风安全的技术措施如下：</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①恢复正常通风时，必须由通防副总工程师在现场协助救护队完成恢复通风工作。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②首先有瓦检员检查局部通风机及其开关附近10米以内巷道风流中的瓦斯浓度不超过0.5%时，方准人工开动局部通风机，否则要通过调整其相关风路中的风量，增大局部通风机所处巷道的风量，使瓦斯浓度降到0.5%以下。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③由救护队员佩戴氧气呼吸器检测停风区内氧气和二氧化碳浓度，停风区内瓦斯浓度不超过1.0%或二氧化碳浓度不超过1.5%时，可人工直接恢复通风；当停风区内瓦斯浓度超过1.0%或二氧化碳浓度超过1.5%，且瓦斯浓度和二氧化碳浓度都不超过3.0%时，可在局部通风机第一节排风筒上套上绳索，人工开动局部通风机后，收紧或放松绳索以控制局部通风机向巷道内送入的风量，由瓦检员在回风流中，经常检查瓦斯浓度，始终使巷道中排出的风流与全风压风流混合处的瓦斯和二氧化碳浓度都不超过1%，每往前接一节风筒，全风压风流混合处的瓦斯和二氧化碳浓度均必须控制在以上浓度标准以下，且稳定3-5分钟后，方准再往前接一节风筒。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④在恢复掘进巷道通风时，要先检查自己携带的矿灯、自救器和甲烷检测仪，确认完好可靠，方可进入掘进巷道。</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⑤检查掘进巷道入口处的瓦斯和二氧化碳浓度，其浓度均小于3%时，才能有外向里逐段检查。发现掘进巷道瓦斯或二氧化碳达到3%或3%以上时，必须停止检测，返回新鲜空气中。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⑥在检测瓦斯和二氧化碳浓度时，还应检测氧气和其他有毒有害气体浓度，以防止引起窒息或中毒事故。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⑦依上述方法逐节由外向里，恢复通风直至施工迎头，只有整个巷道内回风流中的瓦斯浓度低于1.0%、二氧化碳浓度低于1.5%、氧气浓度不低9 于20%，且稳定30分钟后，才确定整个巷道已恢复了正常通风。恢复通风时，风筒接头吊挂必须符合《煤矿安全规程》；当停风区中瓦斯或二氧化碳浓度超过3.0%时，必须制定排放瓦斯安全措施，报矿总工程师批准。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⑧进入掘进巷道还应注意顶板变化情况，如遇冒顶，必须停止前进。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⑨在恢复通风过程中，必须在所有可能进入待恢复通风巷道及其采区回风系统的通道中设专人站岗，直至恢复正常通风，然后由各组组长撤岗，进行其他工作。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⑩供水工作由管道工负责把各自沿途防尘系统管路阀门检查一遍，确保完好。当发现有断管漏水现象时，及时进行维修。井下全部恢复完通风、供水后，由总指挥下令把所有工作面的回风路线检查一遍，发现问题立即整改。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（2）、恢复送电的技术措施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①掘进工作面恢复正常通风后，进行送电工作之前，必须有专职电工对所有电气设备进行检查，证实各种保护措施齐全完好，方可人工恢复电气设备供电，并严格遵循由外向里由近及远的送电顺序。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②掘进工作面只有在各种安全设施、工程质量、通风等均正常后，方可向各设备送电，然后再向矿井总回风巷恢复供电。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③井下中央变电所的恢复供电工作由专职机电工具体负责，送电时必须接到生产调度室的电话后，方可进行。</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3）、在掘进工作面风、水、电完全恢复正常后，并认真检查工程质量及安全设施情况，重点是顶板情况及其沿途提升运输设施，只有井下所有工作地点均具备安全生产的条件后，方可恢复生产，并把恢复情况通报矿调度室。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（4）、恢复生产时所有人员必须在新鲜风流中行走，由测风员检测矿井进、回风巷及井下各用风地点的风量，若与所要求的风量不符时，及时通报通防科，并组织有关人员查明原因，进行调整，直至满足要求。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（5）、根据井下恢复生产的实际情况，可随时修改和完善本措施内容。</w:t>
      </w:r>
    </w:p>
    <w:p>
      <w:pPr>
        <w:numPr>
          <w:ilvl w:val="0"/>
          <w:numId w:val="0"/>
        </w:numPr>
        <w:jc w:val="left"/>
        <w:rPr>
          <w:rFonts w:hint="eastAsia" w:asciiTheme="minorEastAsia" w:hAnsiTheme="minorEastAsia" w:cstheme="minorEastAsia"/>
          <w:b w:val="0"/>
          <w:bCs w:val="0"/>
          <w:sz w:val="28"/>
          <w:szCs w:val="28"/>
          <w:lang w:val="en-US" w:eastAsia="zh-CN"/>
        </w:rPr>
      </w:pPr>
    </w:p>
    <w:p>
      <w:pPr>
        <w:numPr>
          <w:ilvl w:val="0"/>
          <w:numId w:val="0"/>
        </w:numPr>
        <w:jc w:val="left"/>
        <w:rPr>
          <w:rFonts w:hint="eastAsia"/>
          <w:lang w:val="en-US" w:eastAsia="zh-CN"/>
        </w:rPr>
      </w:pPr>
    </w:p>
    <w:p>
      <w:pPr>
        <w:numPr>
          <w:ilvl w:val="0"/>
          <w:numId w:val="0"/>
        </w:numPr>
        <w:jc w:val="left"/>
        <w:rPr>
          <w:rFonts w:hint="eastAsia"/>
          <w:lang w:val="en-US" w:eastAsia="zh-CN"/>
        </w:rPr>
      </w:pPr>
    </w:p>
    <w:p>
      <w:pPr>
        <w:numPr>
          <w:ilvl w:val="0"/>
          <w:numId w:val="0"/>
        </w:numPr>
        <w:jc w:val="center"/>
        <w:rPr>
          <w:rFonts w:hint="eastAsia"/>
          <w:b/>
          <w:bCs/>
          <w:sz w:val="52"/>
          <w:szCs w:val="52"/>
          <w:lang w:val="en-US" w:eastAsia="zh-CN"/>
        </w:rPr>
      </w:pPr>
    </w:p>
    <w:p>
      <w:pPr>
        <w:numPr>
          <w:ilvl w:val="0"/>
          <w:numId w:val="0"/>
        </w:numPr>
        <w:jc w:val="center"/>
        <w:rPr>
          <w:rFonts w:hint="eastAsia"/>
          <w:b/>
          <w:bCs/>
          <w:sz w:val="52"/>
          <w:szCs w:val="52"/>
          <w:lang w:val="en-US" w:eastAsia="zh-CN"/>
        </w:rPr>
      </w:pPr>
    </w:p>
    <w:sectPr>
      <w:headerReference r:id="rId3" w:type="default"/>
      <w:footerReference r:id="rId4" w:type="default"/>
      <w:pgSz w:w="11906" w:h="16838"/>
      <w:pgMar w:top="1157" w:right="1463" w:bottom="1157" w:left="1463"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hint="default" w:eastAsiaTheme="minorEastAsia"/>
        <w:lang w:val="en-US" w:eastAsia="zh-CN"/>
      </w:rPr>
    </w:pPr>
    <w:bookmarkStart w:id="0" w:name="_GoBack"/>
    <w:r>
      <w:rPr>
        <w:sz w:val="18"/>
      </w:rPr>
      <w:pict>
        <v:shape id="PowerPlusWaterMarkObject34655" o:spid="_x0000_s2049" o:spt="136" type="#_x0000_t136" style="position:absolute;left:0pt;height:87.05pt;width:415.3pt;mso-position-horizontal:center;mso-position-horizontal-relative:margin;mso-position-vertical:center;mso-position-vertical-relative:margin;z-index:-251657216;mso-width-relative:page;mso-height-relative:page;" fillcolor="#C0C0C0" filled="t" stroked="f" coordsize="21600,21600" adj="10800">
          <v:path/>
          <v:fill on="t" opacity="32768f" focussize="0,0"/>
          <v:stroke on="f"/>
          <v:imagedata o:title=""/>
          <o:lock v:ext="edit" aspectratio="t"/>
          <v:textpath on="t" fitshape="t" fitpath="t" trim="t" xscale="f" string="论安 安全智库" style="font-family:微软雅黑;font-size:36pt;v-same-letter-heights:f;v-text-align:center;"/>
        </v:shape>
      </w:pict>
    </w:r>
    <w:r>
      <w:rPr>
        <w:rFonts w:hint="eastAsia"/>
        <w:lang w:val="en-US" w:eastAsia="zh-CN"/>
      </w:rPr>
      <w:t>论安 安全智库</w:t>
    </w:r>
  </w:p>
  <w:bookmarkEnd w:id="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E1246A"/>
    <w:rsid w:val="3BE43E45"/>
    <w:rsid w:val="74EB7E1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rPr>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jinyimeiye</dc:creator>
  <cp:lastModifiedBy>kaka</cp:lastModifiedBy>
  <dcterms:modified xsi:type="dcterms:W3CDTF">2021-03-30T01:54:33Z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3DB42DC1A42A4649BB3D53147AEE3F85</vt:lpwstr>
  </property>
</Properties>
</file>